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067B86">
      <w:pPr>
        <w:spacing w:line="840" w:lineRule="auto"/>
        <w:jc w:val="center"/>
        <w:rPr>
          <w:rFonts w:hint="eastAsia" w:ascii="黑体" w:hAnsi="黑体" w:eastAsia="黑体"/>
          <w:sz w:val="48"/>
          <w:szCs w:val="48"/>
        </w:rPr>
      </w:pPr>
    </w:p>
    <w:p w14:paraId="66BDC707">
      <w:pPr>
        <w:spacing w:line="840" w:lineRule="auto"/>
        <w:jc w:val="center"/>
        <w:rPr>
          <w:rFonts w:hint="eastAsia"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1989416B">
      <w:pPr>
        <w:spacing w:line="840" w:lineRule="auto"/>
        <w:jc w:val="center"/>
        <w:rPr>
          <w:rFonts w:hint="eastAsia" w:ascii="黑体" w:hAnsi="黑体" w:eastAsia="黑体"/>
          <w:sz w:val="52"/>
          <w:szCs w:val="52"/>
        </w:rPr>
      </w:pPr>
    </w:p>
    <w:p w14:paraId="419F7299">
      <w:pPr>
        <w:spacing w:line="840" w:lineRule="auto"/>
        <w:jc w:val="center"/>
        <w:rPr>
          <w:rFonts w:hint="eastAsia" w:ascii="黑体" w:hAnsi="黑体" w:eastAsia="黑体"/>
          <w:sz w:val="52"/>
          <w:szCs w:val="52"/>
        </w:rPr>
      </w:pPr>
    </w:p>
    <w:p w14:paraId="1CFC316C">
      <w:pPr>
        <w:spacing w:before="312" w:beforeLines="100" w:line="960" w:lineRule="auto"/>
        <w:jc w:val="center"/>
        <w:rPr>
          <w:rFonts w:hint="eastAsia" w:ascii="楷体_GB2312" w:hAnsi="宋体" w:eastAsia="楷体_GB2312"/>
          <w:b/>
          <w:sz w:val="48"/>
          <w:szCs w:val="48"/>
        </w:rPr>
      </w:pPr>
      <w:r>
        <w:rPr>
          <w:rFonts w:hint="eastAsia" w:ascii="楷体_GB2312" w:hAnsi="宋体" w:eastAsia="楷体_GB2312"/>
          <w:b/>
          <w:sz w:val="48"/>
          <w:szCs w:val="48"/>
        </w:rPr>
        <w:t>业财数据应用与管理专业</w:t>
      </w:r>
    </w:p>
    <w:p w14:paraId="1200CDE9">
      <w:pPr>
        <w:spacing w:line="360" w:lineRule="auto"/>
        <w:jc w:val="center"/>
        <w:rPr>
          <w:rFonts w:hint="eastAsia" w:ascii="黑体" w:hAnsi="宋体" w:eastAsia="黑体"/>
          <w:sz w:val="72"/>
          <w:szCs w:val="72"/>
        </w:rPr>
      </w:pPr>
      <w:r>
        <w:rPr>
          <w:rFonts w:hint="eastAsia" w:ascii="黑体" w:hAnsi="宋体" w:eastAsia="黑体"/>
          <w:sz w:val="72"/>
          <w:szCs w:val="72"/>
        </w:rPr>
        <w:t>人才培养方案</w:t>
      </w:r>
    </w:p>
    <w:p w14:paraId="43E816AC">
      <w:pPr>
        <w:widowControl/>
        <w:spacing w:before="312" w:beforeLines="100" w:after="312" w:afterLines="100" w:line="360" w:lineRule="auto"/>
        <w:jc w:val="center"/>
        <w:rPr>
          <w:rFonts w:hint="eastAsia" w:ascii="黑体" w:hAnsi="宋体" w:eastAsia="黑体" w:cs="宋体"/>
          <w:b/>
          <w:kern w:val="0"/>
          <w:sz w:val="50"/>
          <w:szCs w:val="44"/>
        </w:rPr>
      </w:pPr>
      <w:r>
        <w:rPr>
          <w:rFonts w:hint="eastAsia" w:ascii="黑体" w:hAnsi="宋体" w:eastAsia="黑体" w:cs="宋体"/>
          <w:b/>
          <w:kern w:val="0"/>
          <w:sz w:val="50"/>
          <w:szCs w:val="44"/>
        </w:rPr>
        <w:t>（2025版）</w:t>
      </w:r>
    </w:p>
    <w:p w14:paraId="39BA92B6">
      <w:pPr>
        <w:spacing w:line="840" w:lineRule="auto"/>
        <w:jc w:val="center"/>
        <w:rPr>
          <w:rFonts w:hint="eastAsia" w:ascii="黑体" w:hAnsi="宋体" w:eastAsia="黑体"/>
          <w:sz w:val="36"/>
          <w:szCs w:val="36"/>
        </w:rPr>
      </w:pPr>
    </w:p>
    <w:p w14:paraId="459B1BDF">
      <w:pPr>
        <w:spacing w:line="840" w:lineRule="auto"/>
        <w:rPr>
          <w:rFonts w:hint="eastAsia" w:ascii="黑体" w:hAnsi="宋体" w:eastAsia="黑体"/>
          <w:sz w:val="24"/>
          <w:szCs w:val="24"/>
        </w:rPr>
      </w:pPr>
    </w:p>
    <w:p w14:paraId="6A8905FD">
      <w:pPr>
        <w:spacing w:line="360" w:lineRule="auto"/>
        <w:jc w:val="center"/>
        <w:rPr>
          <w:rFonts w:hint="eastAsia" w:ascii="黑体" w:hAnsi="宋体" w:eastAsia="黑体"/>
          <w:sz w:val="36"/>
          <w:szCs w:val="36"/>
        </w:rPr>
      </w:pPr>
    </w:p>
    <w:p w14:paraId="25B79BCB">
      <w:pPr>
        <w:spacing w:line="360" w:lineRule="auto"/>
        <w:jc w:val="center"/>
        <w:rPr>
          <w:rFonts w:hint="eastAsia" w:ascii="黑体" w:hAnsi="宋体" w:eastAsia="黑体"/>
          <w:sz w:val="36"/>
          <w:szCs w:val="36"/>
        </w:rPr>
      </w:pPr>
    </w:p>
    <w:p w14:paraId="0FE08F45">
      <w:pPr>
        <w:spacing w:line="360" w:lineRule="auto"/>
        <w:jc w:val="center"/>
        <w:rPr>
          <w:rFonts w:hint="eastAsia" w:ascii="黑体" w:hAnsi="宋体" w:eastAsia="黑体"/>
          <w:sz w:val="36"/>
          <w:szCs w:val="36"/>
        </w:rPr>
      </w:pPr>
      <w:r>
        <w:rPr>
          <w:rFonts w:hint="eastAsia" w:ascii="黑体" w:hAnsi="宋体" w:eastAsia="黑体"/>
          <w:sz w:val="36"/>
          <w:szCs w:val="36"/>
        </w:rPr>
        <w:t>云南轻纺职业学院制</w:t>
      </w:r>
    </w:p>
    <w:p w14:paraId="34E4F959">
      <w:pPr>
        <w:spacing w:line="360" w:lineRule="auto"/>
        <w:jc w:val="center"/>
        <w:rPr>
          <w:rFonts w:hint="eastAsia" w:ascii="黑体" w:hAnsi="宋体" w:eastAsia="黑体"/>
          <w:sz w:val="28"/>
          <w:szCs w:val="28"/>
        </w:rPr>
      </w:pPr>
      <w:r>
        <w:rPr>
          <w:rFonts w:hint="eastAsia" w:ascii="黑体" w:hAnsi="宋体" w:eastAsia="黑体"/>
          <w:sz w:val="36"/>
          <w:szCs w:val="36"/>
        </w:rPr>
        <w:t>二〇二五年七月</w:t>
      </w:r>
    </w:p>
    <w:p w14:paraId="4F3E9669">
      <w:pPr>
        <w:spacing w:line="360" w:lineRule="auto"/>
        <w:rPr>
          <w:rFonts w:hint="eastAsia"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2F1D1423">
      <w:pPr>
        <w:spacing w:before="312" w:beforeLines="100" w:after="312" w:afterLines="100" w:line="360" w:lineRule="auto"/>
        <w:jc w:val="center"/>
        <w:rPr>
          <w:rFonts w:hint="eastAsia" w:ascii="黑体" w:hAnsi="黑体" w:eastAsia="黑体" w:cs="Angsana New"/>
          <w:sz w:val="32"/>
          <w:szCs w:val="32"/>
          <w:lang w:bidi="th-TH"/>
        </w:rPr>
      </w:pPr>
      <w:r>
        <w:rPr>
          <w:rFonts w:hint="eastAsia" w:ascii="黑体" w:hAnsi="黑体" w:eastAsia="黑体" w:cs="Angsana New"/>
          <w:sz w:val="32"/>
          <w:szCs w:val="32"/>
          <w:lang w:bidi="th-TH"/>
        </w:rPr>
        <w:t>业财数据应用与管理专业人才培养方案</w:t>
      </w:r>
    </w:p>
    <w:p w14:paraId="099A3BF7">
      <w:pPr>
        <w:spacing w:line="360" w:lineRule="auto"/>
        <w:ind w:firstLine="480" w:firstLineChars="200"/>
        <w:rPr>
          <w:rFonts w:ascii="宋体"/>
          <w:kern w:val="0"/>
          <w:sz w:val="24"/>
          <w:szCs w:val="28"/>
        </w:rPr>
      </w:pPr>
      <w:r>
        <w:rPr>
          <w:rFonts w:hint="eastAsia" w:ascii="宋体" w:hAnsi="宋体"/>
          <w:kern w:val="0"/>
          <w:sz w:val="24"/>
          <w:szCs w:val="28"/>
        </w:rPr>
        <w:t>本方案是为了实现业财数据应用与管理专业人才培养目标设置的基本条件及毕业生达到的人才规格，是制定本专业人才教学计划的依据。凡授予本专业毕业证书者，均应执行本方案。</w:t>
      </w:r>
    </w:p>
    <w:p w14:paraId="7CFB1D83">
      <w:pPr>
        <w:spacing w:line="360" w:lineRule="auto"/>
        <w:ind w:firstLine="560" w:firstLineChars="200"/>
        <w:jc w:val="left"/>
        <w:outlineLvl w:val="0"/>
        <w:rPr>
          <w:rFonts w:ascii="宋体"/>
          <w:kern w:val="0"/>
          <w:sz w:val="24"/>
          <w:szCs w:val="28"/>
        </w:rPr>
      </w:pPr>
      <w:r>
        <w:rPr>
          <w:rFonts w:hint="eastAsia" w:ascii="黑体" w:hAnsi="黑体" w:eastAsia="黑体" w:cs="Angsana New"/>
          <w:bCs/>
          <w:sz w:val="28"/>
          <w:szCs w:val="28"/>
          <w:lang w:bidi="th-TH"/>
        </w:rPr>
        <w:t>一、专业名称（专业代码）</w:t>
      </w:r>
    </w:p>
    <w:p w14:paraId="48A81FED">
      <w:pPr>
        <w:spacing w:line="360" w:lineRule="auto"/>
        <w:ind w:firstLine="480" w:firstLineChars="200"/>
        <w:rPr>
          <w:rFonts w:hint="eastAsia" w:ascii="宋体" w:hAnsi="宋体"/>
          <w:kern w:val="0"/>
          <w:sz w:val="24"/>
          <w:szCs w:val="28"/>
        </w:rPr>
      </w:pPr>
      <w:r>
        <w:rPr>
          <w:rFonts w:hint="eastAsia" w:ascii="宋体" w:hAnsi="宋体" w:cs="Angsana New"/>
          <w:sz w:val="24"/>
          <w:szCs w:val="24"/>
          <w:lang w:bidi="th-TH"/>
        </w:rPr>
        <w:t>专业名称：</w:t>
      </w:r>
      <w:r>
        <w:rPr>
          <w:rFonts w:hint="eastAsia" w:ascii="宋体" w:hAnsi="宋体"/>
          <w:kern w:val="0"/>
          <w:sz w:val="24"/>
          <w:szCs w:val="28"/>
        </w:rPr>
        <w:t>业财数据应用与管理</w:t>
      </w:r>
    </w:p>
    <w:p w14:paraId="74DDB251">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专业代码：530305</w:t>
      </w:r>
    </w:p>
    <w:p w14:paraId="780ECADA">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批准设置日期：2025年1月</w:t>
      </w:r>
    </w:p>
    <w:p w14:paraId="6A891018">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首次招生日期：2025年8月</w:t>
      </w:r>
    </w:p>
    <w:p w14:paraId="273B4F26">
      <w:pPr>
        <w:spacing w:line="360" w:lineRule="auto"/>
        <w:ind w:firstLine="560" w:firstLineChars="200"/>
        <w:jc w:val="left"/>
        <w:outlineLvl w:val="0"/>
        <w:rPr>
          <w:rFonts w:ascii="宋体"/>
          <w:kern w:val="0"/>
          <w:sz w:val="24"/>
          <w:szCs w:val="28"/>
        </w:rPr>
      </w:pPr>
      <w:r>
        <w:rPr>
          <w:rFonts w:hint="eastAsia" w:ascii="黑体" w:hAnsi="黑体" w:eastAsia="黑体" w:cs="Angsana New"/>
          <w:bCs/>
          <w:sz w:val="28"/>
          <w:szCs w:val="28"/>
          <w:lang w:bidi="th-TH"/>
        </w:rPr>
        <w:t>二、学制与招生</w:t>
      </w:r>
    </w:p>
    <w:p w14:paraId="295823E5">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基本修业年限以3年为主，弹性修读年限为2～5年。</w:t>
      </w:r>
    </w:p>
    <w:p w14:paraId="3565DFC9">
      <w:pPr>
        <w:adjustRightInd w:val="0"/>
        <w:snapToGrid w:val="0"/>
        <w:spacing w:line="360" w:lineRule="auto"/>
        <w:ind w:firstLine="480" w:firstLineChars="200"/>
        <w:rPr>
          <w:rFonts w:hint="eastAsia"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2046E276">
      <w:pPr>
        <w:adjustRightInd w:val="0"/>
        <w:snapToGrid w:val="0"/>
        <w:spacing w:line="360" w:lineRule="auto"/>
        <w:ind w:firstLine="480" w:firstLineChars="200"/>
        <w:rPr>
          <w:rFonts w:hint="eastAsia"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5A6A846F">
      <w:pPr>
        <w:spacing w:line="360" w:lineRule="auto"/>
        <w:ind w:firstLine="560" w:firstLineChars="200"/>
        <w:jc w:val="left"/>
        <w:outlineLvl w:val="0"/>
        <w:rPr>
          <w:rFonts w:hint="eastAsia" w:ascii="宋体" w:hAnsi="宋体"/>
          <w:kern w:val="0"/>
          <w:sz w:val="24"/>
          <w:szCs w:val="28"/>
        </w:rPr>
      </w:pPr>
      <w:r>
        <w:rPr>
          <w:rFonts w:hint="eastAsia" w:ascii="黑体" w:hAnsi="黑体" w:eastAsia="黑体" w:cs="Angsana New"/>
          <w:bCs/>
          <w:sz w:val="28"/>
          <w:szCs w:val="28"/>
          <w:lang w:bidi="th-TH"/>
        </w:rPr>
        <w:t>三、职业面向</w:t>
      </w:r>
    </w:p>
    <w:p w14:paraId="43677FAC">
      <w:pPr>
        <w:adjustRightInd w:val="0"/>
        <w:snapToGrid w:val="0"/>
        <w:spacing w:line="360" w:lineRule="auto"/>
        <w:ind w:firstLine="480" w:firstLineChars="200"/>
        <w:rPr>
          <w:rFonts w:hint="eastAsia"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7499D228">
      <w:pPr>
        <w:adjustRightInd w:val="0"/>
        <w:snapToGrid w:val="0"/>
        <w:jc w:val="center"/>
        <w:rPr>
          <w:rFonts w:hint="eastAsia" w:ascii="宋体" w:hAnsi="宋体"/>
          <w:b/>
          <w:bCs/>
          <w:kern w:val="0"/>
          <w:szCs w:val="21"/>
        </w:rPr>
      </w:pPr>
      <w:r>
        <w:rPr>
          <w:rFonts w:hint="eastAsia" w:ascii="宋体" w:hAnsi="宋体"/>
          <w:b/>
          <w:bCs/>
          <w:kern w:val="0"/>
          <w:szCs w:val="21"/>
        </w:rPr>
        <w:t>表1  本专业职业面向</w:t>
      </w:r>
    </w:p>
    <w:tbl>
      <w:tblPr>
        <w:tblStyle w:val="14"/>
        <w:tblW w:w="9113" w:type="dxa"/>
        <w:jc w:val="center"/>
        <w:tblLayout w:type="fixed"/>
        <w:tblCellMar>
          <w:top w:w="0" w:type="dxa"/>
          <w:left w:w="0" w:type="dxa"/>
          <w:bottom w:w="0" w:type="dxa"/>
          <w:right w:w="0" w:type="dxa"/>
        </w:tblCellMar>
      </w:tblPr>
      <w:tblGrid>
        <w:gridCol w:w="1180"/>
        <w:gridCol w:w="1097"/>
        <w:gridCol w:w="1200"/>
        <w:gridCol w:w="2013"/>
        <w:gridCol w:w="1969"/>
        <w:gridCol w:w="1654"/>
      </w:tblGrid>
      <w:tr w14:paraId="441B0818">
        <w:tblPrEx>
          <w:tblCellMar>
            <w:top w:w="0" w:type="dxa"/>
            <w:left w:w="0" w:type="dxa"/>
            <w:bottom w:w="0" w:type="dxa"/>
            <w:right w:w="0" w:type="dxa"/>
          </w:tblCellMar>
        </w:tblPrEx>
        <w:trPr>
          <w:trHeight w:val="680" w:hRule="atLeast"/>
          <w:jc w:val="center"/>
        </w:trPr>
        <w:tc>
          <w:tcPr>
            <w:tcW w:w="118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4C203F38">
            <w:pPr>
              <w:adjustRightInd w:val="0"/>
              <w:snapToGrid w:val="0"/>
              <w:spacing w:line="280" w:lineRule="exact"/>
              <w:jc w:val="center"/>
              <w:rPr>
                <w:rFonts w:ascii="宋体"/>
                <w:szCs w:val="21"/>
              </w:rPr>
            </w:pPr>
            <w:r>
              <w:rPr>
                <w:rFonts w:hint="eastAsia" w:ascii="宋体" w:hAnsi="宋体"/>
                <w:szCs w:val="21"/>
              </w:rPr>
              <w:t>所属专业大类（代码）</w:t>
            </w:r>
          </w:p>
        </w:tc>
        <w:tc>
          <w:tcPr>
            <w:tcW w:w="1097"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C261666">
            <w:pPr>
              <w:adjustRightInd w:val="0"/>
              <w:snapToGrid w:val="0"/>
              <w:spacing w:line="280" w:lineRule="exact"/>
              <w:jc w:val="center"/>
              <w:rPr>
                <w:rFonts w:ascii="宋体"/>
                <w:szCs w:val="21"/>
              </w:rPr>
            </w:pPr>
            <w:r>
              <w:rPr>
                <w:rFonts w:hint="eastAsia" w:ascii="宋体" w:hAnsi="宋体"/>
                <w:szCs w:val="21"/>
              </w:rPr>
              <w:t>所属专业类（代码）</w:t>
            </w:r>
          </w:p>
        </w:tc>
        <w:tc>
          <w:tcPr>
            <w:tcW w:w="120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C35EC5F">
            <w:pPr>
              <w:adjustRightInd w:val="0"/>
              <w:snapToGrid w:val="0"/>
              <w:spacing w:line="280" w:lineRule="exact"/>
              <w:jc w:val="center"/>
              <w:rPr>
                <w:rFonts w:hint="eastAsia" w:ascii="宋体" w:hAnsi="宋体"/>
                <w:szCs w:val="21"/>
              </w:rPr>
            </w:pPr>
            <w:r>
              <w:rPr>
                <w:rFonts w:hint="eastAsia" w:ascii="宋体" w:hAnsi="宋体"/>
                <w:szCs w:val="21"/>
              </w:rPr>
              <w:t>对应行业</w:t>
            </w:r>
          </w:p>
          <w:p w14:paraId="2BB9BD86">
            <w:pPr>
              <w:adjustRightInd w:val="0"/>
              <w:snapToGrid w:val="0"/>
              <w:spacing w:line="280" w:lineRule="exact"/>
              <w:jc w:val="center"/>
              <w:rPr>
                <w:rFonts w:ascii="宋体"/>
                <w:szCs w:val="21"/>
              </w:rPr>
            </w:pPr>
            <w:r>
              <w:rPr>
                <w:rFonts w:hint="eastAsia" w:ascii="宋体" w:hAnsi="宋体"/>
                <w:szCs w:val="21"/>
              </w:rPr>
              <w:t>（代码）</w:t>
            </w:r>
          </w:p>
        </w:tc>
        <w:tc>
          <w:tcPr>
            <w:tcW w:w="201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FA87C53">
            <w:pPr>
              <w:adjustRightInd w:val="0"/>
              <w:snapToGrid w:val="0"/>
              <w:spacing w:line="280" w:lineRule="exact"/>
              <w:jc w:val="center"/>
              <w:rPr>
                <w:rFonts w:hint="eastAsia" w:ascii="宋体" w:hAnsi="宋体"/>
                <w:szCs w:val="21"/>
              </w:rPr>
            </w:pPr>
            <w:r>
              <w:rPr>
                <w:rFonts w:hint="eastAsia" w:ascii="宋体" w:hAnsi="宋体"/>
                <w:szCs w:val="21"/>
              </w:rPr>
              <w:t>主要职业类别</w:t>
            </w:r>
          </w:p>
          <w:p w14:paraId="4DB629EF">
            <w:pPr>
              <w:adjustRightInd w:val="0"/>
              <w:snapToGrid w:val="0"/>
              <w:spacing w:line="280" w:lineRule="exact"/>
              <w:jc w:val="center"/>
              <w:rPr>
                <w:rFonts w:ascii="宋体"/>
                <w:szCs w:val="21"/>
              </w:rPr>
            </w:pPr>
            <w:r>
              <w:rPr>
                <w:rFonts w:hint="eastAsia" w:ascii="宋体" w:hAnsi="宋体"/>
                <w:szCs w:val="21"/>
              </w:rPr>
              <w:t>（代码）</w:t>
            </w:r>
          </w:p>
        </w:tc>
        <w:tc>
          <w:tcPr>
            <w:tcW w:w="196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0738EFD">
            <w:pPr>
              <w:adjustRightInd w:val="0"/>
              <w:snapToGrid w:val="0"/>
              <w:spacing w:line="280" w:lineRule="exact"/>
              <w:jc w:val="center"/>
              <w:rPr>
                <w:rFonts w:hint="eastAsia" w:ascii="宋体" w:hAnsi="宋体"/>
                <w:szCs w:val="21"/>
              </w:rPr>
            </w:pPr>
            <w:r>
              <w:rPr>
                <w:rFonts w:hint="eastAsia" w:ascii="宋体" w:hAnsi="宋体"/>
                <w:szCs w:val="21"/>
              </w:rPr>
              <w:t>主要岗位（群）</w:t>
            </w:r>
          </w:p>
          <w:p w14:paraId="4C415F98">
            <w:pPr>
              <w:adjustRightInd w:val="0"/>
              <w:snapToGrid w:val="0"/>
              <w:spacing w:line="280" w:lineRule="exact"/>
              <w:jc w:val="center"/>
              <w:rPr>
                <w:rFonts w:ascii="宋体"/>
                <w:szCs w:val="21"/>
              </w:rPr>
            </w:pPr>
            <w:r>
              <w:rPr>
                <w:rFonts w:hint="eastAsia" w:ascii="宋体" w:hAnsi="宋体"/>
                <w:szCs w:val="21"/>
              </w:rPr>
              <w:t>类别列举</w:t>
            </w:r>
          </w:p>
        </w:tc>
        <w:tc>
          <w:tcPr>
            <w:tcW w:w="165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2FD2257">
            <w:pPr>
              <w:adjustRightInd w:val="0"/>
              <w:snapToGrid w:val="0"/>
              <w:spacing w:line="280" w:lineRule="exact"/>
              <w:jc w:val="center"/>
              <w:rPr>
                <w:rFonts w:ascii="宋体"/>
                <w:szCs w:val="21"/>
              </w:rPr>
            </w:pPr>
            <w:r>
              <w:rPr>
                <w:rFonts w:hint="eastAsia" w:ascii="宋体" w:hAnsi="宋体"/>
                <w:szCs w:val="21"/>
              </w:rPr>
              <w:t>职业资格（职业技能等级）证书列举</w:t>
            </w:r>
          </w:p>
        </w:tc>
      </w:tr>
      <w:tr w14:paraId="622BB0C9">
        <w:tblPrEx>
          <w:tblCellMar>
            <w:top w:w="0" w:type="dxa"/>
            <w:left w:w="0" w:type="dxa"/>
            <w:bottom w:w="0" w:type="dxa"/>
            <w:right w:w="0" w:type="dxa"/>
          </w:tblCellMar>
        </w:tblPrEx>
        <w:trPr>
          <w:trHeight w:val="630" w:hRule="atLeast"/>
          <w:jc w:val="center"/>
        </w:trPr>
        <w:tc>
          <w:tcPr>
            <w:tcW w:w="118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5C126C2B">
            <w:pPr>
              <w:adjustRightInd w:val="0"/>
              <w:snapToGrid w:val="0"/>
              <w:spacing w:line="280" w:lineRule="exact"/>
              <w:jc w:val="center"/>
              <w:rPr>
                <w:rFonts w:ascii="宋体"/>
                <w:szCs w:val="21"/>
              </w:rPr>
            </w:pPr>
            <w:r>
              <w:rPr>
                <w:rFonts w:hint="eastAsia" w:ascii="宋体"/>
                <w:szCs w:val="21"/>
              </w:rPr>
              <w:t>财经商贸大类</w:t>
            </w:r>
            <w:r>
              <w:rPr>
                <w:rFonts w:ascii="宋体"/>
                <w:szCs w:val="21"/>
              </w:rPr>
              <w:t>（53）</w:t>
            </w:r>
          </w:p>
        </w:tc>
        <w:tc>
          <w:tcPr>
            <w:tcW w:w="1097" w:type="dxa"/>
            <w:tcBorders>
              <w:top w:val="nil"/>
              <w:left w:val="nil"/>
              <w:bottom w:val="single" w:color="auto" w:sz="6" w:space="0"/>
              <w:right w:val="single" w:color="auto" w:sz="6" w:space="0"/>
            </w:tcBorders>
            <w:tcMar>
              <w:top w:w="0" w:type="dxa"/>
              <w:left w:w="105" w:type="dxa"/>
              <w:bottom w:w="0" w:type="dxa"/>
              <w:right w:w="105" w:type="dxa"/>
            </w:tcMar>
            <w:vAlign w:val="center"/>
          </w:tcPr>
          <w:p w14:paraId="49CC8A3B">
            <w:pPr>
              <w:adjustRightInd w:val="0"/>
              <w:snapToGrid w:val="0"/>
              <w:spacing w:line="280" w:lineRule="exact"/>
              <w:jc w:val="center"/>
              <w:rPr>
                <w:rFonts w:ascii="宋体"/>
                <w:szCs w:val="21"/>
              </w:rPr>
            </w:pPr>
            <w:r>
              <w:rPr>
                <w:rFonts w:hint="eastAsia" w:ascii="宋体"/>
                <w:szCs w:val="21"/>
              </w:rPr>
              <w:t>财务会计类</w:t>
            </w:r>
            <w:r>
              <w:rPr>
                <w:rFonts w:ascii="宋体"/>
                <w:szCs w:val="21"/>
              </w:rPr>
              <w:t>（5303）</w:t>
            </w:r>
          </w:p>
        </w:tc>
        <w:tc>
          <w:tcPr>
            <w:tcW w:w="1200" w:type="dxa"/>
            <w:tcBorders>
              <w:top w:val="nil"/>
              <w:left w:val="nil"/>
              <w:bottom w:val="single" w:color="auto" w:sz="6" w:space="0"/>
              <w:right w:val="single" w:color="auto" w:sz="6" w:space="0"/>
            </w:tcBorders>
            <w:tcMar>
              <w:top w:w="0" w:type="dxa"/>
              <w:left w:w="105" w:type="dxa"/>
              <w:bottom w:w="0" w:type="dxa"/>
              <w:right w:w="105" w:type="dxa"/>
            </w:tcMar>
            <w:vAlign w:val="center"/>
          </w:tcPr>
          <w:p w14:paraId="46DFE6C1">
            <w:pPr>
              <w:pStyle w:val="24"/>
              <w:spacing w:line="280" w:lineRule="exact"/>
              <w:ind w:left="0" w:right="81" w:firstLine="0" w:firstLineChars="0"/>
              <w:rPr>
                <w:rFonts w:hAnsi="Calibri" w:cs="Times New Roman"/>
                <w:sz w:val="21"/>
                <w:szCs w:val="21"/>
                <w:lang w:val="en-US" w:bidi="ar-SA"/>
              </w:rPr>
            </w:pPr>
            <w:r>
              <w:rPr>
                <w:rFonts w:hint="eastAsia" w:hAnsi="Calibri" w:cs="Times New Roman"/>
                <w:sz w:val="21"/>
                <w:szCs w:val="21"/>
                <w:lang w:val="en-US" w:bidi="ar-SA"/>
              </w:rPr>
              <w:t>会计、审计及税务服务</w:t>
            </w:r>
            <w:r>
              <w:rPr>
                <w:rFonts w:hint="eastAsia"/>
                <w:szCs w:val="21"/>
              </w:rPr>
              <w:t>（7241）</w:t>
            </w:r>
          </w:p>
        </w:tc>
        <w:tc>
          <w:tcPr>
            <w:tcW w:w="2013" w:type="dxa"/>
            <w:tcBorders>
              <w:top w:val="nil"/>
              <w:left w:val="nil"/>
              <w:bottom w:val="single" w:color="auto" w:sz="6" w:space="0"/>
              <w:right w:val="single" w:color="auto" w:sz="6" w:space="0"/>
            </w:tcBorders>
            <w:tcMar>
              <w:top w:w="0" w:type="dxa"/>
              <w:left w:w="105" w:type="dxa"/>
              <w:bottom w:w="0" w:type="dxa"/>
              <w:right w:w="105" w:type="dxa"/>
            </w:tcMar>
            <w:vAlign w:val="center"/>
          </w:tcPr>
          <w:p w14:paraId="16A4547B">
            <w:pPr>
              <w:pStyle w:val="24"/>
              <w:spacing w:line="280" w:lineRule="exact"/>
              <w:ind w:left="0" w:right="81" w:firstLine="0" w:firstLineChars="0"/>
              <w:jc w:val="left"/>
              <w:rPr>
                <w:rFonts w:hAnsi="Calibri" w:cs="Times New Roman"/>
                <w:sz w:val="21"/>
                <w:szCs w:val="21"/>
                <w:lang w:val="en-US" w:bidi="ar-SA"/>
              </w:rPr>
            </w:pPr>
            <w:r>
              <w:rPr>
                <w:rFonts w:hint="eastAsia" w:hAnsi="Calibri" w:cs="Times New Roman"/>
                <w:sz w:val="21"/>
                <w:szCs w:val="21"/>
                <w:lang w:val="en-US" w:bidi="ar-SA"/>
              </w:rPr>
              <w:t>会计专业人员（2-06-03）、税务人（2-06-05）、采购（4-01-01）、销售人员（4-01-02）、经济规划专业人员（2-06-01-01）、商务数据分析师（4-07-02-05）、数字化管理师（2-06-07-13）、企业合规师（2-06-07-14）</w:t>
            </w:r>
          </w:p>
        </w:tc>
        <w:tc>
          <w:tcPr>
            <w:tcW w:w="1969" w:type="dxa"/>
            <w:tcBorders>
              <w:top w:val="nil"/>
              <w:left w:val="nil"/>
              <w:bottom w:val="single" w:color="auto" w:sz="6" w:space="0"/>
              <w:right w:val="single" w:color="auto" w:sz="6" w:space="0"/>
            </w:tcBorders>
            <w:tcMar>
              <w:top w:w="0" w:type="dxa"/>
              <w:left w:w="105" w:type="dxa"/>
              <w:bottom w:w="0" w:type="dxa"/>
              <w:right w:w="105" w:type="dxa"/>
            </w:tcMar>
            <w:vAlign w:val="center"/>
          </w:tcPr>
          <w:p w14:paraId="3949A868">
            <w:pPr>
              <w:adjustRightInd w:val="0"/>
              <w:snapToGrid w:val="0"/>
              <w:spacing w:line="280" w:lineRule="exact"/>
              <w:jc w:val="left"/>
              <w:rPr>
                <w:rFonts w:ascii="宋体"/>
                <w:szCs w:val="21"/>
              </w:rPr>
            </w:pPr>
            <w:r>
              <w:rPr>
                <w:rFonts w:hint="eastAsia" w:ascii="宋体"/>
                <w:szCs w:val="21"/>
              </w:rPr>
              <w:t>财务BP（业财融合采购管理岗、业财融合生产管理岗、业财融合销售管理岗、业财融合筹资管理岗、业财融合投资管理岗、业财融合分配管理岗）、绩效评价师、业财数据分析师、商务数据分析师、财务数字治理专员</w:t>
            </w:r>
          </w:p>
        </w:tc>
        <w:tc>
          <w:tcPr>
            <w:tcW w:w="1654" w:type="dxa"/>
            <w:tcBorders>
              <w:top w:val="nil"/>
              <w:left w:val="nil"/>
              <w:bottom w:val="single" w:color="auto" w:sz="6" w:space="0"/>
              <w:right w:val="single" w:color="auto" w:sz="6" w:space="0"/>
            </w:tcBorders>
            <w:tcMar>
              <w:top w:w="0" w:type="dxa"/>
              <w:left w:w="105" w:type="dxa"/>
              <w:bottom w:w="0" w:type="dxa"/>
              <w:right w:w="105" w:type="dxa"/>
            </w:tcMar>
            <w:vAlign w:val="center"/>
          </w:tcPr>
          <w:p w14:paraId="59CE80AF">
            <w:pPr>
              <w:adjustRightInd w:val="0"/>
              <w:snapToGrid w:val="0"/>
              <w:spacing w:line="280" w:lineRule="exact"/>
              <w:jc w:val="left"/>
              <w:rPr>
                <w:rFonts w:ascii="宋体"/>
                <w:szCs w:val="21"/>
              </w:rPr>
            </w:pPr>
            <w:r>
              <w:rPr>
                <w:rFonts w:hint="eastAsia" w:ascii="宋体"/>
                <w:szCs w:val="21"/>
              </w:rPr>
              <w:t>会计专业技术资格、经济专业技术资格、数字化管理师、业财税融合大数据投融资分析职业等级证书、业财税融合成本管控职业等级证书</w:t>
            </w:r>
          </w:p>
        </w:tc>
      </w:tr>
    </w:tbl>
    <w:p w14:paraId="4129E87C">
      <w:pPr>
        <w:adjustRightInd w:val="0"/>
        <w:snapToGrid w:val="0"/>
        <w:spacing w:line="360" w:lineRule="auto"/>
        <w:jc w:val="center"/>
        <w:rPr>
          <w:rFonts w:ascii="宋体" w:cs="Angsana New"/>
          <w:b/>
          <w:color w:val="0070C0"/>
          <w:sz w:val="24"/>
          <w:szCs w:val="24"/>
          <w:lang w:bidi="th-TH"/>
        </w:rPr>
      </w:pPr>
    </w:p>
    <w:p w14:paraId="7FC8B23D">
      <w:pPr>
        <w:spacing w:line="360" w:lineRule="auto"/>
        <w:ind w:firstLine="560" w:firstLineChars="200"/>
        <w:jc w:val="left"/>
        <w:outlineLvl w:val="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516ABC27">
      <w:pPr>
        <w:adjustRightInd w:val="0"/>
        <w:snapToGrid w:val="0"/>
        <w:spacing w:line="360" w:lineRule="auto"/>
        <w:ind w:firstLine="482" w:firstLineChars="200"/>
        <w:outlineLvl w:val="1"/>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6C116E3">
      <w:pPr>
        <w:snapToGrid w:val="0"/>
        <w:spacing w:line="348" w:lineRule="auto"/>
        <w:ind w:firstLine="480" w:firstLineChars="200"/>
        <w:rPr>
          <w:sz w:val="24"/>
        </w:rPr>
      </w:pPr>
      <w:r>
        <w:rPr>
          <w:sz w:val="24"/>
        </w:rPr>
        <w:t>本专业培养德智体美劳全面发展，具有良好的科学素养与人文素养，掌握扎实的业务财务基本理论、数字技术及相关经济、管理、金融等知识；具备资源配置、业务运营、成本控制、风险管理和绩效评价、数字化管理等业务流、数据流、财税流、知识流融合的业财数据应用与管理能力，具有工匠精神和信息素养，能够运用大数据技术从事业财数据分析、业财融合供产销管理、业财融合投融资及分配管理等工作的高素质技能人才。</w:t>
      </w:r>
    </w:p>
    <w:p w14:paraId="3897B977">
      <w:pPr>
        <w:adjustRightInd w:val="0"/>
        <w:snapToGrid w:val="0"/>
        <w:spacing w:line="360" w:lineRule="auto"/>
        <w:ind w:firstLine="482" w:firstLineChars="200"/>
        <w:outlineLvl w:val="1"/>
        <w:rPr>
          <w:rFonts w:ascii="宋体" w:cs="Angsana New"/>
          <w:color w:val="FF0000"/>
          <w:sz w:val="24"/>
          <w:szCs w:val="24"/>
          <w:lang w:bidi="th-TH"/>
        </w:rPr>
      </w:pPr>
      <w:r>
        <w:rPr>
          <w:rFonts w:hint="eastAsia" w:ascii="宋体" w:hAnsi="宋体" w:cs="Angsana New"/>
          <w:b/>
          <w:bCs/>
          <w:sz w:val="24"/>
          <w:szCs w:val="24"/>
          <w:lang w:bidi="th-TH"/>
        </w:rPr>
        <w:t>（二）培养规格</w:t>
      </w:r>
    </w:p>
    <w:p w14:paraId="2FB2CA25">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7901C4F4">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53EDCAD6">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（1）思想政治素质：热爱社会主义祖国，能够准确理解习近平新时代中国特色社会主义思想的深刻内涵，能够准确理解和把握社会主义核心价值观的深刻内涵和实践要求，具有正确的世界观、人生观、价值观。</w:t>
      </w:r>
    </w:p>
    <w:p w14:paraId="648B59DE">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（2）文化素质：具备基本的科学理性素养，具备基本的中华优秀传统文化素养。</w:t>
      </w:r>
    </w:p>
    <w:p w14:paraId="51038997">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（3）职业素质：爱岗敬业、诚实守信、务实严谨，能够自觉遵守财会行业法律法规和职业道德，具有质量意识、环保意识、安全意识，具备现代</w:t>
      </w:r>
      <w:r>
        <w:rPr>
          <w:rFonts w:hint="eastAsia" w:asciiTheme="minorEastAsia" w:hAnsiTheme="minorEastAsia" w:eastAsiaTheme="minorEastAsia" w:cstheme="minorEastAsia"/>
          <w:sz w:val="24"/>
          <w:lang w:val="en-US" w:eastAsia="zh-CN"/>
        </w:rPr>
        <w:t>数字</w:t>
      </w:r>
      <w:r>
        <w:rPr>
          <w:rFonts w:hint="eastAsia" w:asciiTheme="minorEastAsia" w:hAnsiTheme="minorEastAsia" w:eastAsiaTheme="minorEastAsia" w:cstheme="minorEastAsia"/>
          <w:sz w:val="24"/>
        </w:rPr>
        <w:t>素养，具有工匠精神和创新精神。</w:t>
      </w:r>
    </w:p>
    <w:p w14:paraId="0FC24DEF">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身心素质：具有基本的体育运动和生理卫生知识，养成良好的锻炼身体、讲究卫生的习惯，掌握一定的运动技能，达到国家规定的体育健康标准；具有良好的心理素质、情绪调节能力和抗压能力，具有较强的进取心。</w:t>
      </w:r>
    </w:p>
    <w:p w14:paraId="2C3488C4">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766F90DB">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（1）掌握必备的思想政治理论、科学文化基础知识和中华优秀传统文化知识。</w:t>
      </w:r>
    </w:p>
    <w:p w14:paraId="3115109B">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（2）掌握基本的军事理论知识、心理健康知识、创新创业知识、职业发展与就业相关知识。</w:t>
      </w:r>
    </w:p>
    <w:p w14:paraId="102AC548">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（3）熟悉与本专业相关的法律法规以及环境保护、安全消防知识。</w:t>
      </w:r>
    </w:p>
    <w:p w14:paraId="53DF0CC2">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掌握经济学、管理学的基本知识，了解企业经营活动的基本流程和规律；掌握会计学、财务管理的核心知识；掌握业财融合采购管理、生产管理、销售管理、筹资管理、投资管理、分配管理等业财融合理论知识。</w:t>
      </w:r>
    </w:p>
    <w:p w14:paraId="2EF951C2">
      <w:pPr>
        <w:adjustRightInd w:val="0"/>
        <w:snapToGrid w:val="0"/>
        <w:spacing w:line="360" w:lineRule="auto"/>
        <w:ind w:firstLine="480" w:firstLineChars="200"/>
      </w:pPr>
      <w:r>
        <w:rPr>
          <w:rFonts w:hint="eastAsia" w:asciiTheme="minorEastAsia" w:hAnsiTheme="minorEastAsia" w:eastAsiaTheme="minorEastAsia" w:cstheme="minorEastAsia"/>
          <w:sz w:val="24"/>
        </w:rPr>
        <w:t>（5）熟悉数据</w:t>
      </w:r>
      <w:r>
        <w:rPr>
          <w:rFonts w:hint="eastAsia" w:asciiTheme="minorEastAsia" w:hAnsiTheme="minorEastAsia" w:eastAsiaTheme="minorEastAsia" w:cstheme="minorEastAsia"/>
          <w:sz w:val="24"/>
          <w:lang w:val="en-US" w:eastAsia="zh-CN"/>
        </w:rPr>
        <w:t>技术</w:t>
      </w:r>
      <w:r>
        <w:rPr>
          <w:rFonts w:hint="eastAsia" w:asciiTheme="minorEastAsia" w:hAnsiTheme="minorEastAsia" w:eastAsiaTheme="minorEastAsia" w:cstheme="minorEastAsia"/>
          <w:sz w:val="24"/>
        </w:rPr>
        <w:t>基础知识，如数据采集、数据清洗、数据存储等技术；掌握大数据应用技术、人工智能技术等新一代信息技术在业财融合、业财税数据治理等</w:t>
      </w:r>
      <w:r>
        <w:rPr>
          <w:rFonts w:hint="eastAsia" w:asciiTheme="minorEastAsia" w:hAnsiTheme="minorEastAsia" w:eastAsiaTheme="minorEastAsia" w:cstheme="minorEastAsia"/>
          <w:sz w:val="24"/>
          <w:lang w:val="en-US" w:eastAsia="zh-CN"/>
        </w:rPr>
        <w:t>中的</w:t>
      </w:r>
      <w:r>
        <w:rPr>
          <w:rFonts w:hint="eastAsia" w:asciiTheme="minorEastAsia" w:hAnsiTheme="minorEastAsia" w:eastAsiaTheme="minorEastAsia" w:cstheme="minorEastAsia"/>
          <w:sz w:val="24"/>
        </w:rPr>
        <w:t>业财数据技术应用知识。</w:t>
      </w:r>
    </w:p>
    <w:p w14:paraId="2DC24CCE">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12093FB3">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（1）职业基本能力</w:t>
      </w:r>
    </w:p>
    <w:p w14:paraId="07DD66BC">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①具有探究学习、终身学习、分析问题和解决问题、可持续发展的能力。</w:t>
      </w:r>
    </w:p>
    <w:p w14:paraId="53BAF052">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②具有良好的言语理解能力、口头与书面表达能力和沟通能力。</w:t>
      </w:r>
    </w:p>
    <w:p w14:paraId="45A25234">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③具有使用办公软件对文字、表格、图像进行处理能力。</w:t>
      </w:r>
    </w:p>
    <w:p w14:paraId="7F387B9D">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asciiTheme="minorEastAsia" w:hAnsiTheme="minorEastAsia" w:eastAsiaTheme="minorEastAsia" w:cstheme="minorEastAsia"/>
          <w:sz w:val="24"/>
        </w:rPr>
        <w:t>（</w:t>
      </w:r>
      <w:r>
        <w:rPr>
          <w:rFonts w:hint="eastAsia" w:asciiTheme="minorEastAsia" w:hAnsiTheme="minorEastAsia" w:eastAsiaTheme="minorEastAsia" w:cstheme="minorEastAsia"/>
          <w:sz w:val="24"/>
        </w:rPr>
        <w:t>2</w:t>
      </w:r>
      <w:r>
        <w:rPr>
          <w:rFonts w:asciiTheme="minorEastAsia" w:hAnsiTheme="minorEastAsia" w:eastAsiaTheme="minorEastAsia" w:cstheme="minorEastAsia"/>
          <w:sz w:val="24"/>
        </w:rPr>
        <w:t>）</w:t>
      </w:r>
      <w:r>
        <w:rPr>
          <w:rFonts w:hint="eastAsia" w:asciiTheme="minorEastAsia" w:hAnsiTheme="minorEastAsia" w:eastAsiaTheme="minorEastAsia" w:cstheme="minorEastAsia"/>
          <w:sz w:val="24"/>
        </w:rPr>
        <w:t>职业核心能力</w:t>
      </w:r>
    </w:p>
    <w:p w14:paraId="34EB375D">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①具有适应产业数智化发展需求的基本数智技能，具有运用</w:t>
      </w:r>
      <w:r>
        <w:rPr>
          <w:rFonts w:hint="eastAsia" w:asciiTheme="minorEastAsia" w:hAnsiTheme="minorEastAsia" w:eastAsiaTheme="minorEastAsia" w:cstheme="minorEastAsia"/>
          <w:sz w:val="24"/>
          <w:lang w:val="en-US" w:eastAsia="zh-CN"/>
        </w:rPr>
        <w:t>大数据技术、</w:t>
      </w:r>
      <w:r>
        <w:rPr>
          <w:rFonts w:hint="eastAsia" w:asciiTheme="minorEastAsia" w:hAnsiTheme="minorEastAsia" w:eastAsiaTheme="minorEastAsia" w:cstheme="minorEastAsia"/>
          <w:sz w:val="24"/>
        </w:rPr>
        <w:t>人工智能等新一代信息技术将业务、财务、税务相融合的数智化处理能力。</w:t>
      </w:r>
    </w:p>
    <w:p w14:paraId="3EB7B20B">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②具备运用新一代数智化业财管理系统，结合大数据应用技术、业财会计、企业管理、经济法等基本理论进行业务流程认知、流程节点识别、数据资源配置、节点数据分析、资源场景研判、场景应用风控等能力。</w:t>
      </w:r>
    </w:p>
    <w:p w14:paraId="28361FDF">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③能够运用新一代数智化业财管理系统及大数据工具对业财数据进行采集、挖掘、清洗、存储、可视化分析的能力。</w:t>
      </w:r>
    </w:p>
    <w:p w14:paraId="3F71799D">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④能够运用新一代数智化业财管理系统及大数据、人工智能等技术，按照业财融合、数据服务、价值创造的要求，基于企业数据服务的完整体系，对企业采购、生产、销售、筹资、投资及分配等环节进行业务运营、资源配置、风险预警、成本控制、决策服务、绩效评价的能力。</w:t>
      </w:r>
    </w:p>
    <w:p w14:paraId="7F53606F">
      <w:pPr>
        <w:adjustRightInd w:val="0"/>
        <w:snapToGrid w:val="0"/>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⑤具有大数据思维、业财融合思维，具有依托新一代数智化业财管理系统整合知识和综合运用知识分析问题和解决问题的能力。</w:t>
      </w:r>
    </w:p>
    <w:p w14:paraId="3CA791D0">
      <w:pPr>
        <w:spacing w:line="360" w:lineRule="auto"/>
        <w:ind w:firstLine="560" w:firstLineChars="200"/>
        <w:jc w:val="left"/>
        <w:outlineLvl w:val="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0391AC69">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根据行业企业调研和专业调研，分解职业岗位能力，提炼</w:t>
      </w:r>
      <w:r>
        <w:rPr>
          <w:rFonts w:hint="eastAsia" w:ascii="宋体" w:hAnsi="宋体"/>
          <w:kern w:val="0"/>
          <w:sz w:val="24"/>
          <w:szCs w:val="28"/>
        </w:rPr>
        <w:t>业财数据应用与管理</w:t>
      </w:r>
      <w:r>
        <w:rPr>
          <w:rFonts w:hint="eastAsia" w:ascii="宋体" w:hAnsi="宋体" w:cs="Angsana New"/>
          <w:sz w:val="24"/>
          <w:szCs w:val="24"/>
          <w:lang w:bidi="th-TH"/>
        </w:rPr>
        <w:t>专业面向的职业岗位和工作任务，由此确定主要教学内容与要求。</w:t>
      </w:r>
    </w:p>
    <w:p w14:paraId="12721F65">
      <w:pPr>
        <w:pStyle w:val="28"/>
        <w:numPr>
          <w:ilvl w:val="0"/>
          <w:numId w:val="1"/>
        </w:numPr>
        <w:adjustRightInd w:val="0"/>
        <w:snapToGrid w:val="0"/>
        <w:spacing w:line="360" w:lineRule="auto"/>
        <w:ind w:firstLineChars="0"/>
        <w:outlineLvl w:val="1"/>
        <w:rPr>
          <w:rFonts w:hint="eastAsia" w:ascii="宋体" w:hAnsi="宋体" w:cs="Angsana New"/>
          <w:b/>
          <w:sz w:val="24"/>
          <w:szCs w:val="24"/>
          <w:lang w:bidi="th-TH"/>
        </w:rPr>
      </w:pPr>
      <w:r>
        <w:rPr>
          <w:rFonts w:hint="eastAsia" w:ascii="宋体" w:hAnsi="宋体" w:cs="Angsana New"/>
          <w:b/>
          <w:sz w:val="24"/>
          <w:szCs w:val="24"/>
          <w:lang w:bidi="th-TH"/>
        </w:rPr>
        <w:t>岗位分析</w:t>
      </w:r>
    </w:p>
    <w:p w14:paraId="5CE17C7E">
      <w:pPr>
        <w:adjustRightInd w:val="0"/>
        <w:snapToGrid w:val="0"/>
        <w:jc w:val="center"/>
        <w:rPr>
          <w:rFonts w:hint="eastAsia" w:ascii="宋体" w:hAnsi="宋体"/>
          <w:b/>
          <w:bCs/>
          <w:kern w:val="0"/>
          <w:szCs w:val="21"/>
        </w:rPr>
        <w:sectPr>
          <w:pgSz w:w="11906" w:h="16838"/>
          <w:pgMar w:top="1417" w:right="1701" w:bottom="1417" w:left="1701" w:header="851" w:footer="992" w:gutter="0"/>
          <w:cols w:space="0" w:num="1"/>
          <w:docGrid w:type="lines" w:linePitch="312" w:charSpace="0"/>
        </w:sectPr>
      </w:pPr>
    </w:p>
    <w:p w14:paraId="3F2B1845">
      <w:pPr>
        <w:adjustRightInd w:val="0"/>
        <w:snapToGrid w:val="0"/>
        <w:jc w:val="center"/>
        <w:rPr>
          <w:rFonts w:ascii="宋体" w:hAnsi="宋体"/>
          <w:b/>
          <w:bCs/>
          <w:kern w:val="0"/>
          <w:szCs w:val="21"/>
        </w:rPr>
      </w:pPr>
      <w:r>
        <w:rPr>
          <w:rFonts w:hint="eastAsia" w:ascii="宋体" w:hAnsi="宋体"/>
          <w:b/>
          <w:bCs/>
          <w:kern w:val="0"/>
          <w:szCs w:val="21"/>
        </w:rPr>
        <w:t>表</w:t>
      </w:r>
      <w:r>
        <w:rPr>
          <w:rFonts w:ascii="宋体" w:hAnsi="宋体"/>
          <w:b/>
          <w:bCs/>
          <w:kern w:val="0"/>
          <w:szCs w:val="21"/>
        </w:rPr>
        <w:t>2</w:t>
      </w:r>
      <w:r>
        <w:rPr>
          <w:rFonts w:hint="eastAsia" w:ascii="宋体" w:hAnsi="宋体"/>
          <w:b/>
          <w:bCs/>
          <w:kern w:val="0"/>
          <w:szCs w:val="21"/>
        </w:rPr>
        <w:t xml:space="preserve">  职业岗位和工作作务表</w:t>
      </w:r>
    </w:p>
    <w:tbl>
      <w:tblPr>
        <w:tblStyle w:val="15"/>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941"/>
        <w:gridCol w:w="1538"/>
        <w:gridCol w:w="1701"/>
        <w:gridCol w:w="1843"/>
        <w:gridCol w:w="2273"/>
      </w:tblGrid>
      <w:tr w14:paraId="4FA5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734ED9D8">
            <w:pPr>
              <w:adjustRightInd w:val="0"/>
              <w:snapToGrid w:val="0"/>
              <w:spacing w:line="280" w:lineRule="exact"/>
              <w:jc w:val="center"/>
              <w:rPr>
                <w:rFonts w:ascii="宋体"/>
                <w:kern w:val="0"/>
                <w:szCs w:val="21"/>
              </w:rPr>
            </w:pPr>
            <w:r>
              <w:rPr>
                <w:rFonts w:hint="eastAsia" w:ascii="宋体" w:hAnsi="宋体"/>
                <w:kern w:val="0"/>
                <w:szCs w:val="21"/>
              </w:rPr>
              <w:t>序号</w:t>
            </w:r>
          </w:p>
        </w:tc>
        <w:tc>
          <w:tcPr>
            <w:tcW w:w="2479" w:type="dxa"/>
            <w:gridSpan w:val="2"/>
            <w:vAlign w:val="center"/>
          </w:tcPr>
          <w:p w14:paraId="330817F3">
            <w:pPr>
              <w:adjustRightInd w:val="0"/>
              <w:snapToGrid w:val="0"/>
              <w:spacing w:line="280" w:lineRule="exact"/>
              <w:jc w:val="center"/>
              <w:rPr>
                <w:rFonts w:ascii="宋体"/>
                <w:szCs w:val="21"/>
              </w:rPr>
            </w:pPr>
            <w:r>
              <w:rPr>
                <w:rFonts w:hint="eastAsia" w:ascii="宋体" w:hAnsi="宋体"/>
                <w:szCs w:val="21"/>
              </w:rPr>
              <w:t>职业岗位</w:t>
            </w:r>
          </w:p>
          <w:p w14:paraId="588B8F15">
            <w:pPr>
              <w:adjustRightInd w:val="0"/>
              <w:snapToGrid w:val="0"/>
              <w:spacing w:line="280" w:lineRule="exact"/>
              <w:jc w:val="center"/>
              <w:rPr>
                <w:rFonts w:ascii="宋体"/>
                <w:szCs w:val="21"/>
              </w:rPr>
            </w:pPr>
            <w:r>
              <w:rPr>
                <w:rFonts w:hint="eastAsia" w:ascii="宋体" w:hAnsi="宋体"/>
                <w:szCs w:val="21"/>
              </w:rPr>
              <w:t>（核心岗位及相关岗位）</w:t>
            </w:r>
          </w:p>
        </w:tc>
        <w:tc>
          <w:tcPr>
            <w:tcW w:w="1701" w:type="dxa"/>
            <w:vAlign w:val="center"/>
          </w:tcPr>
          <w:p w14:paraId="7CFCEF3E">
            <w:pPr>
              <w:adjustRightInd w:val="0"/>
              <w:snapToGrid w:val="0"/>
              <w:spacing w:line="280" w:lineRule="exact"/>
              <w:jc w:val="center"/>
              <w:rPr>
                <w:rFonts w:ascii="宋体"/>
                <w:kern w:val="0"/>
                <w:szCs w:val="21"/>
              </w:rPr>
            </w:pPr>
            <w:r>
              <w:rPr>
                <w:rFonts w:hint="eastAsia" w:ascii="宋体" w:hAnsi="宋体"/>
                <w:kern w:val="0"/>
                <w:szCs w:val="21"/>
              </w:rPr>
              <w:t>典型工作任务</w:t>
            </w:r>
          </w:p>
        </w:tc>
        <w:tc>
          <w:tcPr>
            <w:tcW w:w="1843" w:type="dxa"/>
            <w:vAlign w:val="center"/>
          </w:tcPr>
          <w:p w14:paraId="0E731CD4">
            <w:pPr>
              <w:adjustRightInd w:val="0"/>
              <w:snapToGrid w:val="0"/>
              <w:spacing w:line="280" w:lineRule="exact"/>
              <w:jc w:val="center"/>
              <w:rPr>
                <w:rFonts w:ascii="宋体"/>
                <w:szCs w:val="21"/>
              </w:rPr>
            </w:pPr>
            <w:r>
              <w:rPr>
                <w:rFonts w:hint="eastAsia" w:ascii="宋体" w:hAnsi="宋体"/>
                <w:szCs w:val="21"/>
              </w:rPr>
              <w:t>核心技能</w:t>
            </w:r>
          </w:p>
        </w:tc>
        <w:tc>
          <w:tcPr>
            <w:tcW w:w="2273" w:type="dxa"/>
            <w:vAlign w:val="center"/>
          </w:tcPr>
          <w:p w14:paraId="7125BBDE">
            <w:pPr>
              <w:adjustRightInd w:val="0"/>
              <w:snapToGrid w:val="0"/>
              <w:spacing w:line="280" w:lineRule="exact"/>
              <w:jc w:val="center"/>
              <w:rPr>
                <w:rFonts w:ascii="宋体"/>
                <w:szCs w:val="21"/>
              </w:rPr>
            </w:pPr>
            <w:r>
              <w:rPr>
                <w:rFonts w:hint="eastAsia" w:ascii="宋体" w:hAnsi="宋体"/>
                <w:szCs w:val="21"/>
              </w:rPr>
              <w:t>主要教学内容</w:t>
            </w:r>
          </w:p>
        </w:tc>
      </w:tr>
      <w:tr w14:paraId="15B5D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restart"/>
            <w:vAlign w:val="center"/>
          </w:tcPr>
          <w:p w14:paraId="0CA6C7D8">
            <w:pPr>
              <w:adjustRightInd w:val="0"/>
              <w:snapToGrid w:val="0"/>
              <w:spacing w:line="280" w:lineRule="exact"/>
              <w:jc w:val="center"/>
              <w:rPr>
                <w:rFonts w:ascii="宋体"/>
                <w:kern w:val="0"/>
                <w:szCs w:val="21"/>
              </w:rPr>
            </w:pPr>
            <w:r>
              <w:rPr>
                <w:rFonts w:ascii="宋体"/>
                <w:kern w:val="0"/>
                <w:szCs w:val="21"/>
              </w:rPr>
              <w:t>1</w:t>
            </w:r>
          </w:p>
        </w:tc>
        <w:tc>
          <w:tcPr>
            <w:tcW w:w="941" w:type="dxa"/>
            <w:vMerge w:val="restart"/>
            <w:vAlign w:val="center"/>
          </w:tcPr>
          <w:p w14:paraId="754D6110">
            <w:pPr>
              <w:adjustRightInd w:val="0"/>
              <w:snapToGrid w:val="0"/>
              <w:spacing w:line="280" w:lineRule="exact"/>
              <w:outlineLvl w:val="0"/>
              <w:rPr>
                <w:rFonts w:ascii="宋体"/>
                <w:szCs w:val="21"/>
              </w:rPr>
            </w:pPr>
            <w:r>
              <w:rPr>
                <w:rFonts w:hint="eastAsia" w:ascii="宋体"/>
                <w:szCs w:val="21"/>
              </w:rPr>
              <w:t>财务BP</w:t>
            </w:r>
          </w:p>
          <w:p w14:paraId="34919A79">
            <w:pPr>
              <w:adjustRightInd w:val="0"/>
              <w:snapToGrid w:val="0"/>
              <w:spacing w:line="280" w:lineRule="exact"/>
              <w:outlineLvl w:val="0"/>
              <w:rPr>
                <w:rFonts w:ascii="宋体"/>
                <w:szCs w:val="21"/>
              </w:rPr>
            </w:pPr>
          </w:p>
        </w:tc>
        <w:tc>
          <w:tcPr>
            <w:tcW w:w="1538" w:type="dxa"/>
            <w:vAlign w:val="center"/>
          </w:tcPr>
          <w:p w14:paraId="50DFF0F1">
            <w:pPr>
              <w:adjustRightInd w:val="0"/>
              <w:snapToGrid w:val="0"/>
              <w:spacing w:line="280" w:lineRule="exact"/>
              <w:outlineLvl w:val="0"/>
              <w:rPr>
                <w:rFonts w:ascii="宋体"/>
                <w:szCs w:val="21"/>
              </w:rPr>
            </w:pPr>
            <w:r>
              <w:rPr>
                <w:rFonts w:hint="eastAsia" w:ascii="宋体"/>
                <w:szCs w:val="21"/>
              </w:rPr>
              <w:t>业财融合采购管理岗</w:t>
            </w:r>
          </w:p>
        </w:tc>
        <w:tc>
          <w:tcPr>
            <w:tcW w:w="1701" w:type="dxa"/>
            <w:vAlign w:val="center"/>
          </w:tcPr>
          <w:p w14:paraId="3A2B375A">
            <w:pPr>
              <w:adjustRightInd w:val="0"/>
              <w:snapToGrid w:val="0"/>
              <w:spacing w:line="280" w:lineRule="exact"/>
              <w:jc w:val="center"/>
              <w:rPr>
                <w:rFonts w:hint="eastAsia" w:ascii="宋体" w:hAnsi="宋体"/>
                <w:szCs w:val="21"/>
              </w:rPr>
            </w:pPr>
            <w:r>
              <w:rPr>
                <w:rFonts w:hint="eastAsia" w:ascii="宋体" w:hAnsi="宋体"/>
                <w:szCs w:val="21"/>
              </w:rPr>
              <w:t>1. 制定采购计划与预算</w:t>
            </w:r>
            <w:r>
              <w:rPr>
                <w:rFonts w:hint="eastAsia" w:ascii="宋体" w:hAnsi="宋体"/>
                <w:szCs w:val="21"/>
              </w:rPr>
              <w:br w:type="textWrapping"/>
            </w:r>
            <w:r>
              <w:rPr>
                <w:rFonts w:hint="eastAsia" w:ascii="宋体" w:hAnsi="宋体"/>
                <w:szCs w:val="21"/>
              </w:rPr>
              <w:t>2. 供应商准入评估与合同管理</w:t>
            </w:r>
            <w:r>
              <w:rPr>
                <w:rFonts w:hint="eastAsia" w:ascii="宋体" w:hAnsi="宋体"/>
                <w:szCs w:val="21"/>
              </w:rPr>
              <w:br w:type="textWrapping"/>
            </w:r>
            <w:r>
              <w:rPr>
                <w:rFonts w:hint="eastAsia" w:ascii="宋体" w:hAnsi="宋体"/>
                <w:szCs w:val="21"/>
              </w:rPr>
              <w:t>3. 采购入库核算与风险控制</w:t>
            </w:r>
            <w:r>
              <w:rPr>
                <w:rFonts w:hint="eastAsia" w:ascii="宋体" w:hAnsi="宋体"/>
                <w:szCs w:val="21"/>
              </w:rPr>
              <w:br w:type="textWrapping"/>
            </w:r>
            <w:r>
              <w:rPr>
                <w:rFonts w:hint="eastAsia" w:ascii="宋体" w:hAnsi="宋体"/>
                <w:szCs w:val="21"/>
              </w:rPr>
              <w:t>4. 采购绩效分析</w:t>
            </w:r>
          </w:p>
        </w:tc>
        <w:tc>
          <w:tcPr>
            <w:tcW w:w="1843" w:type="dxa"/>
            <w:vAlign w:val="center"/>
          </w:tcPr>
          <w:p w14:paraId="26F73D75">
            <w:pPr>
              <w:adjustRightInd w:val="0"/>
              <w:snapToGrid w:val="0"/>
              <w:spacing w:line="280" w:lineRule="exact"/>
              <w:jc w:val="center"/>
              <w:rPr>
                <w:rFonts w:hint="eastAsia" w:ascii="宋体" w:hAnsi="宋体"/>
                <w:szCs w:val="21"/>
              </w:rPr>
            </w:pPr>
            <w:r>
              <w:rPr>
                <w:rFonts w:hint="eastAsia" w:ascii="宋体" w:hAnsi="宋体"/>
                <w:szCs w:val="21"/>
              </w:rPr>
              <w:t>1. 采购需求预测与成本分析</w:t>
            </w:r>
            <w:r>
              <w:rPr>
                <w:rFonts w:hint="eastAsia" w:ascii="宋体" w:hAnsi="宋体"/>
                <w:szCs w:val="21"/>
              </w:rPr>
              <w:br w:type="textWrapping"/>
            </w:r>
            <w:r>
              <w:rPr>
                <w:rFonts w:hint="eastAsia" w:ascii="宋体" w:hAnsi="宋体"/>
                <w:szCs w:val="21"/>
              </w:rPr>
              <w:t>2. 供应商风险评估</w:t>
            </w:r>
            <w:r>
              <w:rPr>
                <w:rFonts w:hint="eastAsia" w:ascii="宋体" w:hAnsi="宋体"/>
                <w:szCs w:val="21"/>
              </w:rPr>
              <w:br w:type="textWrapping"/>
            </w:r>
            <w:r>
              <w:rPr>
                <w:rFonts w:hint="eastAsia" w:ascii="宋体" w:hAnsi="宋体"/>
                <w:szCs w:val="21"/>
              </w:rPr>
              <w:t>3. 采购合同条款审核</w:t>
            </w:r>
            <w:r>
              <w:rPr>
                <w:rFonts w:hint="eastAsia" w:ascii="宋体" w:hAnsi="宋体"/>
                <w:szCs w:val="21"/>
              </w:rPr>
              <w:br w:type="textWrapping"/>
            </w:r>
            <w:r>
              <w:rPr>
                <w:rFonts w:hint="eastAsia" w:ascii="宋体" w:hAnsi="宋体"/>
                <w:szCs w:val="21"/>
              </w:rPr>
              <w:t>4. 采购数据可视化分析</w:t>
            </w:r>
          </w:p>
        </w:tc>
        <w:tc>
          <w:tcPr>
            <w:tcW w:w="2273" w:type="dxa"/>
            <w:vAlign w:val="center"/>
          </w:tcPr>
          <w:p w14:paraId="75FD6919">
            <w:pPr>
              <w:adjustRightInd w:val="0"/>
              <w:snapToGrid w:val="0"/>
              <w:spacing w:line="280" w:lineRule="exact"/>
              <w:jc w:val="center"/>
              <w:rPr>
                <w:rFonts w:hint="eastAsia" w:ascii="宋体" w:hAnsi="宋体"/>
                <w:szCs w:val="21"/>
              </w:rPr>
            </w:pPr>
            <w:r>
              <w:rPr>
                <w:rFonts w:hint="eastAsia" w:ascii="宋体" w:hAnsi="宋体"/>
                <w:szCs w:val="21"/>
              </w:rPr>
              <w:t>《业财融合采购管理》</w:t>
            </w:r>
            <w:r>
              <w:rPr>
                <w:rFonts w:hint="eastAsia" w:ascii="宋体" w:hAnsi="宋体"/>
                <w:szCs w:val="21"/>
              </w:rPr>
              <w:br w:type="textWrapping"/>
            </w:r>
            <w:r>
              <w:rPr>
                <w:rFonts w:hint="eastAsia" w:ascii="宋体" w:hAnsi="宋体"/>
                <w:szCs w:val="21"/>
              </w:rPr>
              <w:t>《大数据技术在业财融合中的应用》</w:t>
            </w:r>
            <w:r>
              <w:rPr>
                <w:rFonts w:hint="eastAsia" w:ascii="宋体" w:hAnsi="宋体"/>
                <w:szCs w:val="21"/>
              </w:rPr>
              <w:br w:type="textWrapping"/>
            </w:r>
            <w:r>
              <w:rPr>
                <w:rFonts w:hint="eastAsia" w:ascii="宋体" w:hAnsi="宋体"/>
                <w:szCs w:val="21"/>
              </w:rPr>
              <w:t>《业财税数据治理》</w:t>
            </w:r>
          </w:p>
        </w:tc>
      </w:tr>
      <w:tr w14:paraId="26E8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continue"/>
            <w:vAlign w:val="center"/>
          </w:tcPr>
          <w:p w14:paraId="7CBBE502">
            <w:pPr>
              <w:adjustRightInd w:val="0"/>
              <w:snapToGrid w:val="0"/>
              <w:spacing w:line="280" w:lineRule="exact"/>
              <w:jc w:val="center"/>
              <w:rPr>
                <w:rFonts w:ascii="宋体"/>
                <w:kern w:val="0"/>
                <w:szCs w:val="21"/>
              </w:rPr>
            </w:pPr>
          </w:p>
        </w:tc>
        <w:tc>
          <w:tcPr>
            <w:tcW w:w="941" w:type="dxa"/>
            <w:vMerge w:val="continue"/>
            <w:vAlign w:val="center"/>
          </w:tcPr>
          <w:p w14:paraId="4F4D6786">
            <w:pPr>
              <w:adjustRightInd w:val="0"/>
              <w:snapToGrid w:val="0"/>
              <w:spacing w:line="280" w:lineRule="exact"/>
              <w:outlineLvl w:val="0"/>
              <w:rPr>
                <w:rFonts w:ascii="宋体"/>
                <w:szCs w:val="21"/>
              </w:rPr>
            </w:pPr>
          </w:p>
        </w:tc>
        <w:tc>
          <w:tcPr>
            <w:tcW w:w="1538" w:type="dxa"/>
            <w:vAlign w:val="center"/>
          </w:tcPr>
          <w:p w14:paraId="67896BCD">
            <w:pPr>
              <w:adjustRightInd w:val="0"/>
              <w:snapToGrid w:val="0"/>
              <w:spacing w:line="280" w:lineRule="exact"/>
              <w:outlineLvl w:val="0"/>
              <w:rPr>
                <w:rFonts w:ascii="宋体"/>
                <w:szCs w:val="21"/>
              </w:rPr>
            </w:pPr>
            <w:r>
              <w:rPr>
                <w:rFonts w:hint="eastAsia" w:ascii="宋体"/>
                <w:szCs w:val="21"/>
              </w:rPr>
              <w:t>业财融合生产管理岗</w:t>
            </w:r>
          </w:p>
        </w:tc>
        <w:tc>
          <w:tcPr>
            <w:tcW w:w="1701" w:type="dxa"/>
            <w:vAlign w:val="center"/>
          </w:tcPr>
          <w:p w14:paraId="1DF9756F">
            <w:pPr>
              <w:adjustRightInd w:val="0"/>
              <w:snapToGrid w:val="0"/>
              <w:spacing w:line="280" w:lineRule="exact"/>
              <w:jc w:val="center"/>
              <w:rPr>
                <w:rFonts w:hint="eastAsia" w:ascii="宋体" w:hAnsi="宋体"/>
                <w:szCs w:val="21"/>
              </w:rPr>
            </w:pPr>
            <w:r>
              <w:rPr>
                <w:rFonts w:hint="eastAsia" w:ascii="宋体" w:hAnsi="宋体"/>
                <w:szCs w:val="21"/>
              </w:rPr>
              <w:t>1. 生产计划编制与执行监控</w:t>
            </w:r>
            <w:r>
              <w:rPr>
                <w:rFonts w:hint="eastAsia" w:ascii="宋体" w:hAnsi="宋体"/>
                <w:szCs w:val="21"/>
              </w:rPr>
              <w:br w:type="textWrapping"/>
            </w:r>
            <w:r>
              <w:rPr>
                <w:rFonts w:hint="eastAsia" w:ascii="宋体" w:hAnsi="宋体"/>
                <w:szCs w:val="21"/>
              </w:rPr>
              <w:t>2. 生产成本核算与优化</w:t>
            </w:r>
            <w:r>
              <w:rPr>
                <w:rFonts w:hint="eastAsia" w:ascii="宋体" w:hAnsi="宋体"/>
                <w:szCs w:val="21"/>
              </w:rPr>
              <w:br w:type="textWrapping"/>
            </w:r>
            <w:r>
              <w:rPr>
                <w:rFonts w:hint="eastAsia" w:ascii="宋体" w:hAnsi="宋体"/>
                <w:szCs w:val="21"/>
              </w:rPr>
              <w:t>3. 库存动态管理</w:t>
            </w:r>
            <w:r>
              <w:rPr>
                <w:rFonts w:hint="eastAsia" w:ascii="宋体" w:hAnsi="宋体"/>
                <w:szCs w:val="21"/>
              </w:rPr>
              <w:br w:type="textWrapping"/>
            </w:r>
            <w:r>
              <w:rPr>
                <w:rFonts w:hint="eastAsia" w:ascii="宋体" w:hAnsi="宋体"/>
                <w:szCs w:val="21"/>
              </w:rPr>
              <w:t>4. 生产绩效评价</w:t>
            </w:r>
          </w:p>
        </w:tc>
        <w:tc>
          <w:tcPr>
            <w:tcW w:w="1843" w:type="dxa"/>
            <w:vAlign w:val="center"/>
          </w:tcPr>
          <w:p w14:paraId="061AF4A0">
            <w:pPr>
              <w:adjustRightInd w:val="0"/>
              <w:snapToGrid w:val="0"/>
              <w:spacing w:line="280" w:lineRule="exact"/>
              <w:jc w:val="center"/>
              <w:rPr>
                <w:rFonts w:hint="eastAsia" w:ascii="宋体" w:hAnsi="宋体"/>
                <w:szCs w:val="21"/>
              </w:rPr>
            </w:pPr>
            <w:r>
              <w:rPr>
                <w:rFonts w:hint="eastAsia" w:ascii="宋体" w:hAnsi="宋体"/>
                <w:szCs w:val="21"/>
              </w:rPr>
              <w:t>1. 生产流程节点识别</w:t>
            </w:r>
            <w:r>
              <w:rPr>
                <w:rFonts w:hint="eastAsia" w:ascii="宋体" w:hAnsi="宋体"/>
                <w:szCs w:val="21"/>
              </w:rPr>
              <w:br w:type="textWrapping"/>
            </w:r>
            <w:r>
              <w:rPr>
                <w:rFonts w:hint="eastAsia" w:ascii="宋体" w:hAnsi="宋体"/>
                <w:szCs w:val="21"/>
              </w:rPr>
              <w:t>2. 作业成本法应用</w:t>
            </w:r>
            <w:r>
              <w:rPr>
                <w:rFonts w:hint="eastAsia" w:ascii="宋体" w:hAnsi="宋体"/>
                <w:szCs w:val="21"/>
              </w:rPr>
              <w:br w:type="textWrapping"/>
            </w:r>
            <w:r>
              <w:rPr>
                <w:rFonts w:hint="eastAsia" w:ascii="宋体" w:hAnsi="宋体"/>
                <w:szCs w:val="21"/>
              </w:rPr>
              <w:t>3. 库存周转率分析</w:t>
            </w:r>
            <w:r>
              <w:rPr>
                <w:rFonts w:hint="eastAsia" w:ascii="宋体" w:hAnsi="宋体"/>
                <w:szCs w:val="21"/>
              </w:rPr>
              <w:br w:type="textWrapping"/>
            </w:r>
            <w:r>
              <w:rPr>
                <w:rFonts w:hint="eastAsia" w:ascii="宋体" w:hAnsi="宋体"/>
                <w:szCs w:val="21"/>
              </w:rPr>
              <w:t>4. ERP系统操作与数据分析</w:t>
            </w:r>
          </w:p>
        </w:tc>
        <w:tc>
          <w:tcPr>
            <w:tcW w:w="2273" w:type="dxa"/>
            <w:vAlign w:val="center"/>
          </w:tcPr>
          <w:p w14:paraId="532754AC">
            <w:pPr>
              <w:adjustRightInd w:val="0"/>
              <w:snapToGrid w:val="0"/>
              <w:spacing w:line="280" w:lineRule="exact"/>
              <w:jc w:val="center"/>
              <w:rPr>
                <w:rFonts w:hint="eastAsia" w:ascii="宋体" w:hAnsi="宋体"/>
                <w:szCs w:val="21"/>
              </w:rPr>
            </w:pPr>
            <w:r>
              <w:rPr>
                <w:rFonts w:hint="eastAsia" w:ascii="宋体" w:hAnsi="宋体"/>
                <w:szCs w:val="21"/>
              </w:rPr>
              <w:t>《业财融合生产管理》</w:t>
            </w:r>
            <w:r>
              <w:rPr>
                <w:rFonts w:hint="eastAsia" w:ascii="宋体" w:hAnsi="宋体"/>
                <w:szCs w:val="21"/>
              </w:rPr>
              <w:br w:type="textWrapping"/>
            </w:r>
            <w:r>
              <w:rPr>
                <w:rFonts w:hint="eastAsia" w:ascii="宋体" w:hAnsi="宋体"/>
                <w:szCs w:val="21"/>
              </w:rPr>
              <w:t>《大数据分析与可视化技术》</w:t>
            </w:r>
          </w:p>
        </w:tc>
      </w:tr>
      <w:tr w14:paraId="5209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continue"/>
            <w:vAlign w:val="center"/>
          </w:tcPr>
          <w:p w14:paraId="341F464E">
            <w:pPr>
              <w:adjustRightInd w:val="0"/>
              <w:snapToGrid w:val="0"/>
              <w:spacing w:line="280" w:lineRule="exact"/>
              <w:jc w:val="center"/>
              <w:rPr>
                <w:rFonts w:ascii="宋体"/>
                <w:kern w:val="0"/>
                <w:szCs w:val="21"/>
              </w:rPr>
            </w:pPr>
          </w:p>
        </w:tc>
        <w:tc>
          <w:tcPr>
            <w:tcW w:w="941" w:type="dxa"/>
            <w:vMerge w:val="continue"/>
            <w:vAlign w:val="center"/>
          </w:tcPr>
          <w:p w14:paraId="2ED8FBEC">
            <w:pPr>
              <w:adjustRightInd w:val="0"/>
              <w:snapToGrid w:val="0"/>
              <w:spacing w:line="280" w:lineRule="exact"/>
              <w:outlineLvl w:val="0"/>
              <w:rPr>
                <w:rFonts w:ascii="宋体"/>
                <w:szCs w:val="21"/>
              </w:rPr>
            </w:pPr>
          </w:p>
        </w:tc>
        <w:tc>
          <w:tcPr>
            <w:tcW w:w="1538" w:type="dxa"/>
            <w:vAlign w:val="center"/>
          </w:tcPr>
          <w:p w14:paraId="5545618D">
            <w:pPr>
              <w:adjustRightInd w:val="0"/>
              <w:snapToGrid w:val="0"/>
              <w:spacing w:line="280" w:lineRule="exact"/>
              <w:outlineLvl w:val="0"/>
              <w:rPr>
                <w:rFonts w:ascii="宋体"/>
                <w:szCs w:val="21"/>
              </w:rPr>
            </w:pPr>
            <w:r>
              <w:rPr>
                <w:rFonts w:hint="eastAsia" w:ascii="宋体"/>
                <w:szCs w:val="21"/>
              </w:rPr>
              <w:t>业财融合销售管理岗</w:t>
            </w:r>
          </w:p>
        </w:tc>
        <w:tc>
          <w:tcPr>
            <w:tcW w:w="1701" w:type="dxa"/>
            <w:vAlign w:val="center"/>
          </w:tcPr>
          <w:p w14:paraId="61BC4FBD">
            <w:pPr>
              <w:adjustRightInd w:val="0"/>
              <w:snapToGrid w:val="0"/>
              <w:spacing w:line="280" w:lineRule="exact"/>
              <w:jc w:val="center"/>
              <w:rPr>
                <w:rFonts w:hint="eastAsia" w:ascii="宋体" w:hAnsi="宋体"/>
                <w:szCs w:val="21"/>
              </w:rPr>
            </w:pPr>
            <w:r>
              <w:rPr>
                <w:rFonts w:hint="eastAsia" w:ascii="宋体" w:hAnsi="宋体"/>
                <w:szCs w:val="21"/>
              </w:rPr>
              <w:t>1. 销售预测与定价策略制定</w:t>
            </w:r>
            <w:r>
              <w:rPr>
                <w:rFonts w:hint="eastAsia" w:ascii="宋体" w:hAnsi="宋体"/>
                <w:szCs w:val="21"/>
              </w:rPr>
              <w:br w:type="textWrapping"/>
            </w:r>
            <w:r>
              <w:rPr>
                <w:rFonts w:hint="eastAsia" w:ascii="宋体" w:hAnsi="宋体"/>
                <w:szCs w:val="21"/>
              </w:rPr>
              <w:t>2. 客户信用管理与应收账款控制</w:t>
            </w:r>
            <w:r>
              <w:rPr>
                <w:rFonts w:hint="eastAsia" w:ascii="宋体" w:hAnsi="宋体"/>
                <w:szCs w:val="21"/>
              </w:rPr>
              <w:br w:type="textWrapping"/>
            </w:r>
            <w:r>
              <w:rPr>
                <w:rFonts w:hint="eastAsia" w:ascii="宋体" w:hAnsi="宋体"/>
                <w:szCs w:val="21"/>
              </w:rPr>
              <w:t>3. 销售收入确认与利润核算</w:t>
            </w:r>
            <w:r>
              <w:rPr>
                <w:rFonts w:hint="eastAsia" w:ascii="宋体" w:hAnsi="宋体"/>
                <w:szCs w:val="21"/>
              </w:rPr>
              <w:br w:type="textWrapping"/>
            </w:r>
            <w:r>
              <w:rPr>
                <w:rFonts w:hint="eastAsia" w:ascii="宋体" w:hAnsi="宋体"/>
                <w:szCs w:val="21"/>
              </w:rPr>
              <w:t>4. 销售绩效评价</w:t>
            </w:r>
          </w:p>
        </w:tc>
        <w:tc>
          <w:tcPr>
            <w:tcW w:w="1843" w:type="dxa"/>
            <w:vAlign w:val="center"/>
          </w:tcPr>
          <w:p w14:paraId="104BE69F">
            <w:pPr>
              <w:adjustRightInd w:val="0"/>
              <w:snapToGrid w:val="0"/>
              <w:spacing w:line="280" w:lineRule="exact"/>
              <w:jc w:val="center"/>
              <w:rPr>
                <w:rFonts w:hint="eastAsia" w:ascii="宋体" w:hAnsi="宋体"/>
                <w:szCs w:val="21"/>
              </w:rPr>
            </w:pPr>
            <w:r>
              <w:rPr>
                <w:rFonts w:hint="eastAsia" w:ascii="宋体" w:hAnsi="宋体"/>
                <w:szCs w:val="21"/>
              </w:rPr>
              <w:t>1. 市场趋势分析</w:t>
            </w:r>
            <w:r>
              <w:rPr>
                <w:rFonts w:hint="eastAsia" w:ascii="宋体" w:hAnsi="宋体"/>
                <w:szCs w:val="21"/>
              </w:rPr>
              <w:br w:type="textWrapping"/>
            </w:r>
            <w:r>
              <w:rPr>
                <w:rFonts w:hint="eastAsia" w:ascii="宋体" w:hAnsi="宋体"/>
                <w:szCs w:val="21"/>
              </w:rPr>
              <w:t>2. 客户信用风险评估</w:t>
            </w:r>
            <w:r>
              <w:rPr>
                <w:rFonts w:hint="eastAsia" w:ascii="宋体" w:hAnsi="宋体"/>
                <w:szCs w:val="21"/>
              </w:rPr>
              <w:br w:type="textWrapping"/>
            </w:r>
            <w:r>
              <w:rPr>
                <w:rFonts w:hint="eastAsia" w:ascii="宋体" w:hAnsi="宋体"/>
                <w:szCs w:val="21"/>
              </w:rPr>
              <w:t>3. 收入确认准则应用</w:t>
            </w:r>
            <w:r>
              <w:rPr>
                <w:rFonts w:hint="eastAsia" w:ascii="宋体" w:hAnsi="宋体"/>
                <w:szCs w:val="21"/>
              </w:rPr>
              <w:br w:type="textWrapping"/>
            </w:r>
            <w:r>
              <w:rPr>
                <w:rFonts w:hint="eastAsia" w:ascii="宋体" w:hAnsi="宋体"/>
                <w:szCs w:val="21"/>
              </w:rPr>
              <w:t>4. 销售渠道盈利性分析</w:t>
            </w:r>
          </w:p>
        </w:tc>
        <w:tc>
          <w:tcPr>
            <w:tcW w:w="2273" w:type="dxa"/>
            <w:vAlign w:val="center"/>
          </w:tcPr>
          <w:p w14:paraId="4ADB16E3">
            <w:pPr>
              <w:adjustRightInd w:val="0"/>
              <w:snapToGrid w:val="0"/>
              <w:spacing w:line="280" w:lineRule="exact"/>
              <w:jc w:val="center"/>
              <w:rPr>
                <w:rFonts w:hint="eastAsia" w:ascii="宋体" w:hAnsi="宋体"/>
                <w:szCs w:val="21"/>
              </w:rPr>
            </w:pPr>
            <w:r>
              <w:rPr>
                <w:rFonts w:hint="eastAsia" w:ascii="宋体" w:hAnsi="宋体"/>
                <w:szCs w:val="21"/>
              </w:rPr>
              <w:t>《业财融合销售管理》</w:t>
            </w:r>
            <w:r>
              <w:rPr>
                <w:rFonts w:hint="eastAsia" w:ascii="宋体" w:hAnsi="宋体"/>
                <w:szCs w:val="21"/>
              </w:rPr>
              <w:br w:type="textWrapping"/>
            </w:r>
            <w:r>
              <w:rPr>
                <w:rFonts w:hint="eastAsia" w:ascii="宋体" w:hAnsi="宋体"/>
                <w:szCs w:val="21"/>
              </w:rPr>
              <w:t>《业财税综合分析》</w:t>
            </w:r>
          </w:p>
        </w:tc>
      </w:tr>
      <w:tr w14:paraId="1B4C6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continue"/>
            <w:vAlign w:val="center"/>
          </w:tcPr>
          <w:p w14:paraId="5E165C5D">
            <w:pPr>
              <w:adjustRightInd w:val="0"/>
              <w:snapToGrid w:val="0"/>
              <w:spacing w:line="280" w:lineRule="exact"/>
              <w:jc w:val="center"/>
              <w:rPr>
                <w:rFonts w:ascii="宋体"/>
                <w:kern w:val="0"/>
                <w:szCs w:val="21"/>
              </w:rPr>
            </w:pPr>
          </w:p>
        </w:tc>
        <w:tc>
          <w:tcPr>
            <w:tcW w:w="941" w:type="dxa"/>
            <w:vMerge w:val="continue"/>
            <w:vAlign w:val="center"/>
          </w:tcPr>
          <w:p w14:paraId="1AE23241">
            <w:pPr>
              <w:adjustRightInd w:val="0"/>
              <w:snapToGrid w:val="0"/>
              <w:spacing w:line="280" w:lineRule="exact"/>
              <w:outlineLvl w:val="0"/>
              <w:rPr>
                <w:rFonts w:ascii="宋体"/>
                <w:szCs w:val="21"/>
              </w:rPr>
            </w:pPr>
          </w:p>
        </w:tc>
        <w:tc>
          <w:tcPr>
            <w:tcW w:w="1538" w:type="dxa"/>
            <w:vAlign w:val="center"/>
          </w:tcPr>
          <w:p w14:paraId="72AEB29D">
            <w:pPr>
              <w:adjustRightInd w:val="0"/>
              <w:snapToGrid w:val="0"/>
              <w:spacing w:line="280" w:lineRule="exact"/>
              <w:outlineLvl w:val="0"/>
              <w:rPr>
                <w:rFonts w:ascii="宋体"/>
                <w:szCs w:val="21"/>
              </w:rPr>
            </w:pPr>
            <w:r>
              <w:rPr>
                <w:rFonts w:hint="eastAsia" w:ascii="宋体"/>
                <w:szCs w:val="21"/>
              </w:rPr>
              <w:t>业财融合筹资管理岗</w:t>
            </w:r>
          </w:p>
        </w:tc>
        <w:tc>
          <w:tcPr>
            <w:tcW w:w="1701" w:type="dxa"/>
            <w:vAlign w:val="center"/>
          </w:tcPr>
          <w:p w14:paraId="33072A6C">
            <w:pPr>
              <w:adjustRightInd w:val="0"/>
              <w:snapToGrid w:val="0"/>
              <w:spacing w:line="280" w:lineRule="exact"/>
              <w:jc w:val="center"/>
              <w:rPr>
                <w:rFonts w:hint="eastAsia" w:ascii="宋体" w:hAnsi="宋体"/>
                <w:szCs w:val="21"/>
              </w:rPr>
            </w:pPr>
            <w:r>
              <w:rPr>
                <w:rFonts w:hint="eastAsia" w:ascii="宋体" w:hAnsi="宋体"/>
                <w:szCs w:val="21"/>
              </w:rPr>
              <w:t>1. 筹资需求分析与渠道决策</w:t>
            </w:r>
            <w:r>
              <w:rPr>
                <w:rFonts w:hint="eastAsia" w:ascii="宋体" w:hAnsi="宋体"/>
                <w:szCs w:val="21"/>
              </w:rPr>
              <w:br w:type="textWrapping"/>
            </w:r>
            <w:r>
              <w:rPr>
                <w:rFonts w:hint="eastAsia" w:ascii="宋体" w:hAnsi="宋体"/>
                <w:szCs w:val="21"/>
              </w:rPr>
              <w:t>2. 资金成本与风险测算</w:t>
            </w:r>
            <w:r>
              <w:rPr>
                <w:rFonts w:hint="eastAsia" w:ascii="宋体" w:hAnsi="宋体"/>
                <w:szCs w:val="21"/>
              </w:rPr>
              <w:br w:type="textWrapping"/>
            </w:r>
            <w:r>
              <w:rPr>
                <w:rFonts w:hint="eastAsia" w:ascii="宋体" w:hAnsi="宋体"/>
                <w:szCs w:val="21"/>
              </w:rPr>
              <w:t>3. 筹资预算编制</w:t>
            </w:r>
            <w:r>
              <w:rPr>
                <w:rFonts w:hint="eastAsia" w:ascii="宋体" w:hAnsi="宋体"/>
                <w:szCs w:val="21"/>
              </w:rPr>
              <w:br w:type="textWrapping"/>
            </w:r>
            <w:r>
              <w:rPr>
                <w:rFonts w:hint="eastAsia" w:ascii="宋体" w:hAnsi="宋体"/>
                <w:szCs w:val="21"/>
              </w:rPr>
              <w:t>4. 筹资核算与绩效评价</w:t>
            </w:r>
          </w:p>
        </w:tc>
        <w:tc>
          <w:tcPr>
            <w:tcW w:w="1843" w:type="dxa"/>
            <w:vAlign w:val="center"/>
          </w:tcPr>
          <w:p w14:paraId="34F32E9A">
            <w:pPr>
              <w:adjustRightInd w:val="0"/>
              <w:snapToGrid w:val="0"/>
              <w:spacing w:line="280" w:lineRule="exact"/>
              <w:jc w:val="center"/>
              <w:rPr>
                <w:rFonts w:hint="eastAsia" w:ascii="宋体" w:hAnsi="宋体"/>
                <w:szCs w:val="21"/>
              </w:rPr>
            </w:pPr>
            <w:r>
              <w:rPr>
                <w:rFonts w:hint="eastAsia" w:ascii="宋体" w:hAnsi="宋体"/>
                <w:szCs w:val="21"/>
              </w:rPr>
              <w:t>1. 资本结构优化</w:t>
            </w:r>
            <w:r>
              <w:rPr>
                <w:rFonts w:hint="eastAsia" w:ascii="宋体" w:hAnsi="宋体"/>
                <w:szCs w:val="21"/>
              </w:rPr>
              <w:br w:type="textWrapping"/>
            </w:r>
            <w:r>
              <w:rPr>
                <w:rFonts w:hint="eastAsia" w:ascii="宋体" w:hAnsi="宋体"/>
                <w:szCs w:val="21"/>
              </w:rPr>
              <w:t>2. 筹资风险评估</w:t>
            </w:r>
            <w:r>
              <w:rPr>
                <w:rFonts w:hint="eastAsia" w:ascii="宋体" w:hAnsi="宋体"/>
                <w:szCs w:val="21"/>
              </w:rPr>
              <w:br w:type="textWrapping"/>
            </w:r>
            <w:r>
              <w:rPr>
                <w:rFonts w:hint="eastAsia" w:ascii="宋体" w:hAnsi="宋体"/>
                <w:szCs w:val="21"/>
              </w:rPr>
              <w:t>3. 财务预算编制</w:t>
            </w:r>
            <w:r>
              <w:rPr>
                <w:rFonts w:hint="eastAsia" w:ascii="宋体" w:hAnsi="宋体"/>
                <w:szCs w:val="21"/>
              </w:rPr>
              <w:br w:type="textWrapping"/>
            </w:r>
            <w:r>
              <w:rPr>
                <w:rFonts w:hint="eastAsia" w:ascii="宋体" w:hAnsi="宋体"/>
                <w:szCs w:val="21"/>
              </w:rPr>
              <w:t>4. 债务/股权融资核算</w:t>
            </w:r>
          </w:p>
        </w:tc>
        <w:tc>
          <w:tcPr>
            <w:tcW w:w="2273" w:type="dxa"/>
            <w:vAlign w:val="center"/>
          </w:tcPr>
          <w:p w14:paraId="704F9AB7">
            <w:pPr>
              <w:adjustRightInd w:val="0"/>
              <w:snapToGrid w:val="0"/>
              <w:spacing w:line="280" w:lineRule="exact"/>
              <w:jc w:val="center"/>
              <w:rPr>
                <w:rFonts w:hint="eastAsia" w:ascii="宋体" w:hAnsi="宋体"/>
                <w:szCs w:val="21"/>
              </w:rPr>
            </w:pPr>
            <w:r>
              <w:rPr>
                <w:rFonts w:hint="eastAsia" w:ascii="宋体" w:hAnsi="宋体"/>
                <w:szCs w:val="21"/>
              </w:rPr>
              <w:t>《业财融合筹资管理》</w:t>
            </w:r>
            <w:r>
              <w:rPr>
                <w:rFonts w:hint="eastAsia" w:ascii="宋体" w:hAnsi="宋体"/>
                <w:szCs w:val="21"/>
              </w:rPr>
              <w:br w:type="textWrapping"/>
            </w:r>
            <w:r>
              <w:rPr>
                <w:rFonts w:hint="eastAsia" w:ascii="宋体" w:hAnsi="宋体"/>
                <w:szCs w:val="21"/>
              </w:rPr>
              <w:t>《现代金融基础》</w:t>
            </w:r>
          </w:p>
          <w:p w14:paraId="38EF5757">
            <w:pPr>
              <w:adjustRightInd w:val="0"/>
              <w:snapToGrid w:val="0"/>
              <w:spacing w:line="280" w:lineRule="exact"/>
              <w:jc w:val="center"/>
              <w:rPr>
                <w:rFonts w:hint="eastAsia" w:ascii="宋体" w:hAnsi="宋体"/>
                <w:szCs w:val="21"/>
              </w:rPr>
            </w:pPr>
            <w:r>
              <w:rPr>
                <w:rFonts w:hint="eastAsia" w:ascii="宋体" w:hAnsi="宋体"/>
                <w:szCs w:val="21"/>
              </w:rPr>
              <w:t>《财务管理</w:t>
            </w:r>
            <w:r>
              <w:rPr>
                <w:rFonts w:hint="eastAsia" w:ascii="宋体" w:hAnsi="宋体"/>
                <w:szCs w:val="21"/>
                <w:lang w:val="en-US" w:eastAsia="zh-CN"/>
              </w:rPr>
              <w:t>实务</w:t>
            </w:r>
            <w:r>
              <w:rPr>
                <w:rFonts w:hint="eastAsia" w:ascii="宋体" w:hAnsi="宋体"/>
                <w:szCs w:val="21"/>
              </w:rPr>
              <w:t>》</w:t>
            </w:r>
          </w:p>
          <w:p w14:paraId="50F67DFF">
            <w:pPr>
              <w:adjustRightInd w:val="0"/>
              <w:snapToGrid w:val="0"/>
              <w:spacing w:line="280" w:lineRule="exact"/>
              <w:jc w:val="center"/>
              <w:rPr>
                <w:rFonts w:hint="eastAsia" w:ascii="宋体" w:hAnsi="宋体"/>
                <w:szCs w:val="21"/>
              </w:rPr>
            </w:pPr>
          </w:p>
        </w:tc>
      </w:tr>
      <w:tr w14:paraId="6ABA2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continue"/>
            <w:vAlign w:val="center"/>
          </w:tcPr>
          <w:p w14:paraId="5E1F8309">
            <w:pPr>
              <w:adjustRightInd w:val="0"/>
              <w:snapToGrid w:val="0"/>
              <w:spacing w:line="280" w:lineRule="exact"/>
              <w:jc w:val="center"/>
              <w:rPr>
                <w:rFonts w:ascii="宋体"/>
                <w:kern w:val="0"/>
                <w:szCs w:val="21"/>
              </w:rPr>
            </w:pPr>
          </w:p>
        </w:tc>
        <w:tc>
          <w:tcPr>
            <w:tcW w:w="941" w:type="dxa"/>
            <w:vMerge w:val="continue"/>
            <w:vAlign w:val="center"/>
          </w:tcPr>
          <w:p w14:paraId="79F2E29B">
            <w:pPr>
              <w:adjustRightInd w:val="0"/>
              <w:snapToGrid w:val="0"/>
              <w:spacing w:line="280" w:lineRule="exact"/>
              <w:outlineLvl w:val="0"/>
              <w:rPr>
                <w:rFonts w:ascii="宋体"/>
                <w:szCs w:val="21"/>
              </w:rPr>
            </w:pPr>
          </w:p>
        </w:tc>
        <w:tc>
          <w:tcPr>
            <w:tcW w:w="1538" w:type="dxa"/>
            <w:vAlign w:val="center"/>
          </w:tcPr>
          <w:p w14:paraId="75EC5B8D">
            <w:pPr>
              <w:adjustRightInd w:val="0"/>
              <w:snapToGrid w:val="0"/>
              <w:spacing w:line="280" w:lineRule="exact"/>
              <w:outlineLvl w:val="0"/>
              <w:rPr>
                <w:rFonts w:ascii="宋体"/>
                <w:szCs w:val="21"/>
              </w:rPr>
            </w:pPr>
            <w:r>
              <w:rPr>
                <w:rFonts w:hint="eastAsia" w:ascii="宋体"/>
                <w:szCs w:val="21"/>
              </w:rPr>
              <w:t>业财融合投资管理岗</w:t>
            </w:r>
          </w:p>
        </w:tc>
        <w:tc>
          <w:tcPr>
            <w:tcW w:w="1701" w:type="dxa"/>
            <w:vAlign w:val="center"/>
          </w:tcPr>
          <w:p w14:paraId="07812B2F">
            <w:pPr>
              <w:adjustRightInd w:val="0"/>
              <w:snapToGrid w:val="0"/>
              <w:spacing w:line="280" w:lineRule="exact"/>
              <w:jc w:val="center"/>
              <w:rPr>
                <w:rFonts w:hint="eastAsia" w:ascii="宋体" w:hAnsi="宋体"/>
                <w:szCs w:val="21"/>
              </w:rPr>
            </w:pPr>
            <w:r>
              <w:rPr>
                <w:rFonts w:hint="eastAsia" w:ascii="宋体" w:hAnsi="宋体"/>
                <w:szCs w:val="21"/>
              </w:rPr>
              <w:t>1. 投资项目可行性分析</w:t>
            </w:r>
            <w:r>
              <w:rPr>
                <w:rFonts w:hint="eastAsia" w:ascii="宋体" w:hAnsi="宋体"/>
                <w:szCs w:val="21"/>
              </w:rPr>
              <w:br w:type="textWrapping"/>
            </w:r>
            <w:r>
              <w:rPr>
                <w:rFonts w:hint="eastAsia" w:ascii="宋体" w:hAnsi="宋体"/>
                <w:szCs w:val="21"/>
              </w:rPr>
              <w:t>2. 投资预算与执行监控</w:t>
            </w:r>
            <w:r>
              <w:rPr>
                <w:rFonts w:hint="eastAsia" w:ascii="宋体" w:hAnsi="宋体"/>
                <w:szCs w:val="21"/>
              </w:rPr>
              <w:br w:type="textWrapping"/>
            </w:r>
            <w:r>
              <w:rPr>
                <w:rFonts w:hint="eastAsia" w:ascii="宋体" w:hAnsi="宋体"/>
                <w:szCs w:val="21"/>
              </w:rPr>
              <w:t>3. 资产核算与减值测试</w:t>
            </w:r>
            <w:r>
              <w:rPr>
                <w:rFonts w:hint="eastAsia" w:ascii="宋体" w:hAnsi="宋体"/>
                <w:szCs w:val="21"/>
              </w:rPr>
              <w:br w:type="textWrapping"/>
            </w:r>
            <w:r>
              <w:rPr>
                <w:rFonts w:hint="eastAsia" w:ascii="宋体" w:hAnsi="宋体"/>
                <w:szCs w:val="21"/>
              </w:rPr>
              <w:t>4. 投资绩效评价</w:t>
            </w:r>
          </w:p>
        </w:tc>
        <w:tc>
          <w:tcPr>
            <w:tcW w:w="1843" w:type="dxa"/>
            <w:vAlign w:val="center"/>
          </w:tcPr>
          <w:p w14:paraId="01626067">
            <w:pPr>
              <w:adjustRightInd w:val="0"/>
              <w:snapToGrid w:val="0"/>
              <w:spacing w:line="280" w:lineRule="exact"/>
              <w:jc w:val="center"/>
              <w:rPr>
                <w:rFonts w:hint="eastAsia" w:ascii="宋体" w:hAnsi="宋体"/>
                <w:szCs w:val="21"/>
              </w:rPr>
            </w:pPr>
            <w:r>
              <w:rPr>
                <w:rFonts w:hint="eastAsia" w:ascii="宋体" w:hAnsi="宋体"/>
                <w:szCs w:val="21"/>
              </w:rPr>
              <w:t>1. NPV/IRR投资决策分析</w:t>
            </w:r>
            <w:r>
              <w:rPr>
                <w:rFonts w:hint="eastAsia" w:ascii="宋体" w:hAnsi="宋体"/>
                <w:szCs w:val="21"/>
              </w:rPr>
              <w:br w:type="textWrapping"/>
            </w:r>
            <w:r>
              <w:rPr>
                <w:rFonts w:hint="eastAsia" w:ascii="宋体" w:hAnsi="宋体"/>
                <w:szCs w:val="21"/>
              </w:rPr>
              <w:t>2. 投资风险识别</w:t>
            </w:r>
            <w:r>
              <w:rPr>
                <w:rFonts w:hint="eastAsia" w:ascii="宋体" w:hAnsi="宋体"/>
                <w:szCs w:val="21"/>
              </w:rPr>
              <w:br w:type="textWrapping"/>
            </w:r>
            <w:r>
              <w:rPr>
                <w:rFonts w:hint="eastAsia" w:ascii="宋体" w:hAnsi="宋体"/>
                <w:szCs w:val="21"/>
              </w:rPr>
              <w:t>3. 金融资产/固定资产核算</w:t>
            </w:r>
            <w:r>
              <w:rPr>
                <w:rFonts w:hint="eastAsia" w:ascii="宋体" w:hAnsi="宋体"/>
                <w:szCs w:val="21"/>
              </w:rPr>
              <w:br w:type="textWrapping"/>
            </w:r>
            <w:r>
              <w:rPr>
                <w:rFonts w:hint="eastAsia" w:ascii="宋体" w:hAnsi="宋体"/>
                <w:szCs w:val="21"/>
              </w:rPr>
              <w:t>4. 投资回报率分析</w:t>
            </w:r>
          </w:p>
        </w:tc>
        <w:tc>
          <w:tcPr>
            <w:tcW w:w="2273" w:type="dxa"/>
            <w:vAlign w:val="center"/>
          </w:tcPr>
          <w:p w14:paraId="3618F6FB">
            <w:pPr>
              <w:adjustRightInd w:val="0"/>
              <w:snapToGrid w:val="0"/>
              <w:spacing w:line="280" w:lineRule="exact"/>
              <w:jc w:val="center"/>
              <w:rPr>
                <w:rFonts w:hint="eastAsia" w:ascii="宋体" w:hAnsi="宋体"/>
                <w:szCs w:val="21"/>
              </w:rPr>
            </w:pPr>
            <w:r>
              <w:rPr>
                <w:rFonts w:hint="eastAsia" w:ascii="宋体" w:hAnsi="宋体"/>
                <w:szCs w:val="21"/>
              </w:rPr>
              <w:t>《业财融合投资管理》</w:t>
            </w:r>
            <w:r>
              <w:rPr>
                <w:rFonts w:hint="eastAsia" w:ascii="宋体" w:hAnsi="宋体"/>
                <w:szCs w:val="21"/>
              </w:rPr>
              <w:br w:type="textWrapping"/>
            </w:r>
            <w:r>
              <w:rPr>
                <w:rFonts w:hint="eastAsia" w:ascii="宋体" w:hAnsi="宋体"/>
                <w:szCs w:val="21"/>
              </w:rPr>
              <w:t>《现代金融基础》</w:t>
            </w:r>
          </w:p>
          <w:p w14:paraId="76C7D16D">
            <w:pPr>
              <w:adjustRightInd w:val="0"/>
              <w:snapToGrid w:val="0"/>
              <w:spacing w:line="280" w:lineRule="exact"/>
              <w:jc w:val="center"/>
              <w:rPr>
                <w:rFonts w:hint="eastAsia" w:ascii="宋体" w:hAnsi="宋体"/>
                <w:szCs w:val="21"/>
              </w:rPr>
            </w:pPr>
            <w:r>
              <w:rPr>
                <w:rFonts w:hint="eastAsia" w:ascii="宋体" w:hAnsi="宋体"/>
                <w:szCs w:val="21"/>
              </w:rPr>
              <w:t>《财务管理</w:t>
            </w:r>
            <w:r>
              <w:rPr>
                <w:rFonts w:hint="eastAsia" w:ascii="宋体" w:hAnsi="宋体"/>
                <w:szCs w:val="21"/>
                <w:lang w:val="en-US" w:eastAsia="zh-CN"/>
              </w:rPr>
              <w:t>实务</w:t>
            </w:r>
            <w:r>
              <w:rPr>
                <w:rFonts w:hint="eastAsia" w:ascii="宋体" w:hAnsi="宋体"/>
                <w:szCs w:val="21"/>
              </w:rPr>
              <w:t>》</w:t>
            </w:r>
          </w:p>
        </w:tc>
      </w:tr>
      <w:tr w14:paraId="4116F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Merge w:val="continue"/>
            <w:vAlign w:val="center"/>
          </w:tcPr>
          <w:p w14:paraId="02FE2E20">
            <w:pPr>
              <w:adjustRightInd w:val="0"/>
              <w:snapToGrid w:val="0"/>
              <w:spacing w:line="280" w:lineRule="exact"/>
              <w:jc w:val="center"/>
              <w:rPr>
                <w:rFonts w:ascii="宋体"/>
                <w:kern w:val="0"/>
                <w:szCs w:val="21"/>
              </w:rPr>
            </w:pPr>
          </w:p>
        </w:tc>
        <w:tc>
          <w:tcPr>
            <w:tcW w:w="941" w:type="dxa"/>
            <w:vMerge w:val="continue"/>
            <w:vAlign w:val="center"/>
          </w:tcPr>
          <w:p w14:paraId="6C3C3420">
            <w:pPr>
              <w:adjustRightInd w:val="0"/>
              <w:snapToGrid w:val="0"/>
              <w:spacing w:line="280" w:lineRule="exact"/>
              <w:outlineLvl w:val="0"/>
              <w:rPr>
                <w:rFonts w:ascii="宋体"/>
                <w:szCs w:val="21"/>
              </w:rPr>
            </w:pPr>
          </w:p>
        </w:tc>
        <w:tc>
          <w:tcPr>
            <w:tcW w:w="1538" w:type="dxa"/>
            <w:vAlign w:val="center"/>
          </w:tcPr>
          <w:p w14:paraId="5CA899CD">
            <w:pPr>
              <w:adjustRightInd w:val="0"/>
              <w:snapToGrid w:val="0"/>
              <w:spacing w:line="280" w:lineRule="exact"/>
              <w:outlineLvl w:val="0"/>
              <w:rPr>
                <w:rFonts w:ascii="宋体"/>
                <w:szCs w:val="21"/>
              </w:rPr>
            </w:pPr>
            <w:r>
              <w:rPr>
                <w:rFonts w:hint="eastAsia" w:ascii="宋体"/>
                <w:szCs w:val="21"/>
              </w:rPr>
              <w:t>业财融合分配管理岗</w:t>
            </w:r>
          </w:p>
        </w:tc>
        <w:tc>
          <w:tcPr>
            <w:tcW w:w="1701" w:type="dxa"/>
            <w:vAlign w:val="center"/>
          </w:tcPr>
          <w:p w14:paraId="4B2126B6">
            <w:pPr>
              <w:adjustRightInd w:val="0"/>
              <w:snapToGrid w:val="0"/>
              <w:spacing w:line="280" w:lineRule="exact"/>
              <w:jc w:val="center"/>
              <w:rPr>
                <w:rFonts w:hint="eastAsia" w:ascii="宋体" w:hAnsi="宋体"/>
                <w:szCs w:val="21"/>
              </w:rPr>
            </w:pPr>
            <w:r>
              <w:rPr>
                <w:rFonts w:hint="eastAsia" w:ascii="宋体" w:hAnsi="宋体"/>
                <w:szCs w:val="21"/>
              </w:rPr>
              <w:t>1. 利润分配方案设计</w:t>
            </w:r>
            <w:r>
              <w:rPr>
                <w:rFonts w:hint="eastAsia" w:ascii="宋体" w:hAnsi="宋体"/>
                <w:szCs w:val="21"/>
              </w:rPr>
              <w:br w:type="textWrapping"/>
            </w:r>
            <w:r>
              <w:rPr>
                <w:rFonts w:hint="eastAsia" w:ascii="宋体" w:hAnsi="宋体"/>
                <w:szCs w:val="21"/>
              </w:rPr>
              <w:t>2. 薪酬核算与绩效挂钩</w:t>
            </w:r>
            <w:r>
              <w:rPr>
                <w:rFonts w:hint="eastAsia" w:ascii="宋体" w:hAnsi="宋体"/>
                <w:szCs w:val="21"/>
              </w:rPr>
              <w:br w:type="textWrapping"/>
            </w:r>
            <w:r>
              <w:rPr>
                <w:rFonts w:hint="eastAsia" w:ascii="宋体" w:hAnsi="宋体"/>
                <w:szCs w:val="21"/>
              </w:rPr>
              <w:t>3. 税务筹划</w:t>
            </w:r>
            <w:r>
              <w:rPr>
                <w:rFonts w:hint="eastAsia" w:ascii="宋体" w:hAnsi="宋体"/>
                <w:szCs w:val="21"/>
              </w:rPr>
              <w:br w:type="textWrapping"/>
            </w:r>
            <w:r>
              <w:rPr>
                <w:rFonts w:hint="eastAsia" w:ascii="宋体" w:hAnsi="宋体"/>
                <w:szCs w:val="21"/>
              </w:rPr>
              <w:t>4. 分配政策效果分析</w:t>
            </w:r>
          </w:p>
        </w:tc>
        <w:tc>
          <w:tcPr>
            <w:tcW w:w="1843" w:type="dxa"/>
            <w:vAlign w:val="center"/>
          </w:tcPr>
          <w:p w14:paraId="51D6FAC5">
            <w:pPr>
              <w:adjustRightInd w:val="0"/>
              <w:snapToGrid w:val="0"/>
              <w:spacing w:line="280" w:lineRule="exact"/>
              <w:jc w:val="center"/>
              <w:rPr>
                <w:rFonts w:hint="eastAsia" w:ascii="宋体" w:hAnsi="宋体"/>
                <w:szCs w:val="21"/>
              </w:rPr>
            </w:pPr>
            <w:r>
              <w:rPr>
                <w:rFonts w:hint="eastAsia" w:ascii="宋体" w:hAnsi="宋体"/>
                <w:szCs w:val="21"/>
              </w:rPr>
              <w:t>1. 利润分配法规应用</w:t>
            </w:r>
            <w:r>
              <w:rPr>
                <w:rFonts w:hint="eastAsia" w:ascii="宋体" w:hAnsi="宋体"/>
                <w:szCs w:val="21"/>
              </w:rPr>
              <w:br w:type="textWrapping"/>
            </w:r>
            <w:r>
              <w:rPr>
                <w:rFonts w:hint="eastAsia" w:ascii="宋体" w:hAnsi="宋体"/>
                <w:szCs w:val="21"/>
              </w:rPr>
              <w:t>2. 薪酬体系设计</w:t>
            </w:r>
            <w:r>
              <w:rPr>
                <w:rFonts w:hint="eastAsia" w:ascii="宋体" w:hAnsi="宋体"/>
                <w:szCs w:val="21"/>
              </w:rPr>
              <w:br w:type="textWrapping"/>
            </w:r>
            <w:r>
              <w:rPr>
                <w:rFonts w:hint="eastAsia" w:ascii="宋体" w:hAnsi="宋体"/>
                <w:szCs w:val="21"/>
              </w:rPr>
              <w:t>3. 税负优化</w:t>
            </w:r>
            <w:r>
              <w:rPr>
                <w:rFonts w:hint="eastAsia" w:ascii="宋体" w:hAnsi="宋体"/>
                <w:szCs w:val="21"/>
              </w:rPr>
              <w:br w:type="textWrapping"/>
            </w:r>
            <w:r>
              <w:rPr>
                <w:rFonts w:hint="eastAsia" w:ascii="宋体" w:hAnsi="宋体"/>
                <w:szCs w:val="21"/>
              </w:rPr>
              <w:t>4. 分配政策与股东价值关联分析</w:t>
            </w:r>
          </w:p>
        </w:tc>
        <w:tc>
          <w:tcPr>
            <w:tcW w:w="2273" w:type="dxa"/>
            <w:vAlign w:val="center"/>
          </w:tcPr>
          <w:p w14:paraId="3F5F2B90">
            <w:pPr>
              <w:adjustRightInd w:val="0"/>
              <w:snapToGrid w:val="0"/>
              <w:spacing w:line="280" w:lineRule="exact"/>
              <w:jc w:val="center"/>
              <w:rPr>
                <w:rFonts w:hint="eastAsia" w:ascii="宋体" w:hAnsi="宋体"/>
                <w:szCs w:val="21"/>
              </w:rPr>
            </w:pPr>
            <w:r>
              <w:rPr>
                <w:rFonts w:hint="eastAsia" w:ascii="宋体" w:hAnsi="宋体"/>
                <w:szCs w:val="21"/>
              </w:rPr>
              <w:t>《业财融合分配管理》</w:t>
            </w:r>
            <w:r>
              <w:rPr>
                <w:rFonts w:hint="eastAsia" w:ascii="宋体" w:hAnsi="宋体"/>
                <w:szCs w:val="21"/>
              </w:rPr>
              <w:br w:type="textWrapping"/>
            </w:r>
            <w:r>
              <w:rPr>
                <w:rFonts w:hint="eastAsia" w:ascii="宋体" w:hAnsi="宋体"/>
                <w:szCs w:val="21"/>
              </w:rPr>
              <w:t>《税费申报与管理实训》</w:t>
            </w:r>
          </w:p>
        </w:tc>
      </w:tr>
      <w:tr w14:paraId="0D6EE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A2FDC0F">
            <w:pPr>
              <w:adjustRightInd w:val="0"/>
              <w:snapToGrid w:val="0"/>
              <w:spacing w:line="280" w:lineRule="exact"/>
              <w:jc w:val="center"/>
              <w:rPr>
                <w:rFonts w:ascii="宋体"/>
                <w:szCs w:val="21"/>
              </w:rPr>
            </w:pPr>
            <w:r>
              <w:rPr>
                <w:rFonts w:ascii="宋体"/>
                <w:szCs w:val="21"/>
              </w:rPr>
              <w:t>2</w:t>
            </w:r>
          </w:p>
        </w:tc>
        <w:tc>
          <w:tcPr>
            <w:tcW w:w="2479" w:type="dxa"/>
            <w:gridSpan w:val="2"/>
            <w:vAlign w:val="center"/>
          </w:tcPr>
          <w:p w14:paraId="091A02D2">
            <w:pPr>
              <w:adjustRightInd w:val="0"/>
              <w:snapToGrid w:val="0"/>
              <w:spacing w:line="280" w:lineRule="exact"/>
              <w:outlineLvl w:val="0"/>
              <w:rPr>
                <w:rFonts w:ascii="宋体"/>
                <w:szCs w:val="21"/>
              </w:rPr>
            </w:pPr>
          </w:p>
          <w:p w14:paraId="45EADDD3">
            <w:pPr>
              <w:adjustRightInd w:val="0"/>
              <w:snapToGrid w:val="0"/>
              <w:spacing w:line="280" w:lineRule="exact"/>
              <w:outlineLvl w:val="0"/>
              <w:rPr>
                <w:rFonts w:ascii="宋体"/>
                <w:szCs w:val="21"/>
              </w:rPr>
            </w:pPr>
            <w:r>
              <w:rPr>
                <w:rFonts w:hint="eastAsia" w:ascii="宋体"/>
                <w:szCs w:val="21"/>
              </w:rPr>
              <w:t>绩效评价师</w:t>
            </w:r>
          </w:p>
          <w:p w14:paraId="5E4CAF95">
            <w:pPr>
              <w:adjustRightInd w:val="0"/>
              <w:snapToGrid w:val="0"/>
              <w:spacing w:line="280" w:lineRule="exact"/>
              <w:outlineLvl w:val="0"/>
              <w:rPr>
                <w:rFonts w:ascii="宋体"/>
                <w:szCs w:val="21"/>
              </w:rPr>
            </w:pPr>
          </w:p>
        </w:tc>
        <w:tc>
          <w:tcPr>
            <w:tcW w:w="1701" w:type="dxa"/>
            <w:vAlign w:val="center"/>
          </w:tcPr>
          <w:p w14:paraId="3EF8CF5B">
            <w:pPr>
              <w:adjustRightInd w:val="0"/>
              <w:snapToGrid w:val="0"/>
              <w:spacing w:line="280" w:lineRule="exact"/>
              <w:jc w:val="center"/>
              <w:rPr>
                <w:rFonts w:hint="eastAsia" w:ascii="宋体" w:hAnsi="宋体"/>
                <w:szCs w:val="21"/>
              </w:rPr>
            </w:pPr>
            <w:r>
              <w:rPr>
                <w:rFonts w:hint="eastAsia" w:ascii="宋体" w:hAnsi="宋体"/>
                <w:szCs w:val="21"/>
              </w:rPr>
              <w:t>1. 设计KPI指标体系</w:t>
            </w:r>
            <w:r>
              <w:rPr>
                <w:rFonts w:hint="eastAsia" w:ascii="宋体" w:hAnsi="宋体"/>
                <w:szCs w:val="21"/>
              </w:rPr>
              <w:br w:type="textWrapping"/>
            </w:r>
            <w:r>
              <w:rPr>
                <w:rFonts w:hint="eastAsia" w:ascii="宋体" w:hAnsi="宋体"/>
                <w:szCs w:val="21"/>
              </w:rPr>
              <w:t>2. 采集业务与财务数据</w:t>
            </w:r>
            <w:r>
              <w:rPr>
                <w:rFonts w:hint="eastAsia" w:ascii="宋体" w:hAnsi="宋体"/>
                <w:szCs w:val="21"/>
              </w:rPr>
              <w:br w:type="textWrapping"/>
            </w:r>
            <w:r>
              <w:rPr>
                <w:rFonts w:hint="eastAsia" w:ascii="宋体" w:hAnsi="宋体"/>
                <w:szCs w:val="21"/>
              </w:rPr>
              <w:t>3. 多维度绩效评估</w:t>
            </w:r>
            <w:r>
              <w:rPr>
                <w:rFonts w:hint="eastAsia" w:ascii="宋体" w:hAnsi="宋体"/>
                <w:szCs w:val="21"/>
              </w:rPr>
              <w:br w:type="textWrapping"/>
            </w:r>
            <w:r>
              <w:rPr>
                <w:rFonts w:hint="eastAsia" w:ascii="宋体" w:hAnsi="宋体"/>
                <w:szCs w:val="21"/>
              </w:rPr>
              <w:t>4. 撰写改进建议报告</w:t>
            </w:r>
          </w:p>
        </w:tc>
        <w:tc>
          <w:tcPr>
            <w:tcW w:w="1843" w:type="dxa"/>
            <w:vAlign w:val="center"/>
          </w:tcPr>
          <w:p w14:paraId="6A37A2EF">
            <w:pPr>
              <w:adjustRightInd w:val="0"/>
              <w:snapToGrid w:val="0"/>
              <w:spacing w:line="280" w:lineRule="exact"/>
              <w:jc w:val="center"/>
              <w:rPr>
                <w:rFonts w:hint="eastAsia" w:ascii="宋体" w:hAnsi="宋体"/>
                <w:szCs w:val="21"/>
              </w:rPr>
            </w:pPr>
            <w:r>
              <w:rPr>
                <w:rFonts w:hint="eastAsia" w:ascii="宋体" w:hAnsi="宋体"/>
                <w:szCs w:val="21"/>
              </w:rPr>
              <w:t>1. 指标权重设计</w:t>
            </w:r>
            <w:r>
              <w:rPr>
                <w:rFonts w:hint="eastAsia" w:ascii="宋体" w:hAnsi="宋体"/>
                <w:szCs w:val="21"/>
              </w:rPr>
              <w:br w:type="textWrapping"/>
            </w:r>
            <w:r>
              <w:rPr>
                <w:rFonts w:hint="eastAsia" w:ascii="宋体" w:hAnsi="宋体"/>
                <w:szCs w:val="21"/>
              </w:rPr>
              <w:t>2. 数据清洗与整合</w:t>
            </w:r>
            <w:r>
              <w:rPr>
                <w:rFonts w:hint="eastAsia" w:ascii="宋体" w:hAnsi="宋体"/>
                <w:szCs w:val="21"/>
              </w:rPr>
              <w:br w:type="textWrapping"/>
            </w:r>
            <w:r>
              <w:rPr>
                <w:rFonts w:hint="eastAsia" w:ascii="宋体" w:hAnsi="宋体"/>
                <w:szCs w:val="21"/>
              </w:rPr>
              <w:t>3. 平衡计分卡应用</w:t>
            </w:r>
            <w:r>
              <w:rPr>
                <w:rFonts w:hint="eastAsia" w:ascii="宋体" w:hAnsi="宋体"/>
                <w:szCs w:val="21"/>
              </w:rPr>
              <w:br w:type="textWrapping"/>
            </w:r>
            <w:r>
              <w:rPr>
                <w:rFonts w:hint="eastAsia" w:ascii="宋体" w:hAnsi="宋体"/>
                <w:szCs w:val="21"/>
              </w:rPr>
              <w:t>4. 可视化报告呈现</w:t>
            </w:r>
          </w:p>
        </w:tc>
        <w:tc>
          <w:tcPr>
            <w:tcW w:w="2273" w:type="dxa"/>
            <w:vAlign w:val="center"/>
          </w:tcPr>
          <w:p w14:paraId="73729299">
            <w:pPr>
              <w:adjustRightInd w:val="0"/>
              <w:snapToGrid w:val="0"/>
              <w:spacing w:line="280" w:lineRule="exact"/>
              <w:jc w:val="center"/>
              <w:rPr>
                <w:rFonts w:hint="eastAsia" w:ascii="宋体" w:hAnsi="宋体"/>
                <w:szCs w:val="21"/>
              </w:rPr>
            </w:pPr>
            <w:r>
              <w:rPr>
                <w:rFonts w:hint="eastAsia" w:ascii="宋体" w:hAnsi="宋体"/>
                <w:szCs w:val="21"/>
              </w:rPr>
              <w:t>《业财税综合分析》</w:t>
            </w:r>
            <w:r>
              <w:rPr>
                <w:rFonts w:hint="eastAsia" w:ascii="宋体" w:hAnsi="宋体"/>
                <w:szCs w:val="21"/>
              </w:rPr>
              <w:br w:type="textWrapping"/>
            </w:r>
            <w:r>
              <w:rPr>
                <w:rFonts w:hint="eastAsia" w:ascii="宋体" w:hAnsi="宋体"/>
                <w:szCs w:val="21"/>
              </w:rPr>
              <w:t>《大数据分析与可视化技术》</w:t>
            </w:r>
          </w:p>
        </w:tc>
      </w:tr>
      <w:tr w14:paraId="371B2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2AF2803">
            <w:pPr>
              <w:adjustRightInd w:val="0"/>
              <w:snapToGrid w:val="0"/>
              <w:spacing w:line="280" w:lineRule="exact"/>
              <w:jc w:val="center"/>
              <w:rPr>
                <w:rFonts w:ascii="宋体"/>
                <w:szCs w:val="21"/>
              </w:rPr>
            </w:pPr>
            <w:r>
              <w:rPr>
                <w:rFonts w:ascii="宋体"/>
                <w:szCs w:val="21"/>
              </w:rPr>
              <w:t>3</w:t>
            </w:r>
          </w:p>
        </w:tc>
        <w:tc>
          <w:tcPr>
            <w:tcW w:w="2479" w:type="dxa"/>
            <w:gridSpan w:val="2"/>
            <w:vAlign w:val="center"/>
          </w:tcPr>
          <w:p w14:paraId="449EE8A3">
            <w:pPr>
              <w:adjustRightInd w:val="0"/>
              <w:snapToGrid w:val="0"/>
              <w:spacing w:line="280" w:lineRule="exact"/>
              <w:outlineLvl w:val="0"/>
              <w:rPr>
                <w:rFonts w:ascii="宋体"/>
                <w:szCs w:val="21"/>
              </w:rPr>
            </w:pPr>
          </w:p>
          <w:p w14:paraId="1F4F7E46">
            <w:pPr>
              <w:adjustRightInd w:val="0"/>
              <w:snapToGrid w:val="0"/>
              <w:spacing w:line="280" w:lineRule="exact"/>
              <w:outlineLvl w:val="0"/>
              <w:rPr>
                <w:rFonts w:ascii="宋体"/>
                <w:szCs w:val="21"/>
              </w:rPr>
            </w:pPr>
            <w:r>
              <w:rPr>
                <w:rFonts w:hint="eastAsia" w:ascii="宋体"/>
                <w:szCs w:val="21"/>
              </w:rPr>
              <w:t>业财数据分析师</w:t>
            </w:r>
          </w:p>
          <w:p w14:paraId="47ABFABA">
            <w:pPr>
              <w:adjustRightInd w:val="0"/>
              <w:snapToGrid w:val="0"/>
              <w:spacing w:line="280" w:lineRule="exact"/>
              <w:outlineLvl w:val="0"/>
              <w:rPr>
                <w:rFonts w:ascii="宋体"/>
                <w:szCs w:val="21"/>
              </w:rPr>
            </w:pPr>
          </w:p>
        </w:tc>
        <w:tc>
          <w:tcPr>
            <w:tcW w:w="1701" w:type="dxa"/>
            <w:vAlign w:val="center"/>
          </w:tcPr>
          <w:p w14:paraId="2BBE8D5C">
            <w:pPr>
              <w:adjustRightInd w:val="0"/>
              <w:snapToGrid w:val="0"/>
              <w:spacing w:line="280" w:lineRule="exact"/>
              <w:jc w:val="center"/>
              <w:rPr>
                <w:rFonts w:hint="eastAsia" w:ascii="宋体" w:hAnsi="宋体"/>
                <w:szCs w:val="21"/>
              </w:rPr>
            </w:pPr>
            <w:r>
              <w:rPr>
                <w:rFonts w:hint="eastAsia" w:ascii="宋体" w:hAnsi="宋体"/>
                <w:szCs w:val="21"/>
              </w:rPr>
              <w:t>1. 整合业务流与财务流数据</w:t>
            </w:r>
            <w:r>
              <w:rPr>
                <w:rFonts w:hint="eastAsia" w:ascii="宋体" w:hAnsi="宋体"/>
                <w:szCs w:val="21"/>
              </w:rPr>
              <w:br w:type="textWrapping"/>
            </w:r>
            <w:r>
              <w:rPr>
                <w:rFonts w:hint="eastAsia" w:ascii="宋体" w:hAnsi="宋体"/>
                <w:szCs w:val="21"/>
              </w:rPr>
              <w:t>2. 构建业财分析模型</w:t>
            </w:r>
            <w:r>
              <w:rPr>
                <w:rFonts w:hint="eastAsia" w:ascii="宋体" w:hAnsi="宋体"/>
                <w:szCs w:val="21"/>
              </w:rPr>
              <w:br w:type="textWrapping"/>
            </w:r>
            <w:r>
              <w:rPr>
                <w:rFonts w:hint="eastAsia" w:ascii="宋体" w:hAnsi="宋体"/>
                <w:szCs w:val="21"/>
              </w:rPr>
              <w:t>3. 预测成本/收入/风险</w:t>
            </w:r>
            <w:r>
              <w:rPr>
                <w:rFonts w:hint="eastAsia" w:ascii="宋体" w:hAnsi="宋体"/>
                <w:szCs w:val="21"/>
              </w:rPr>
              <w:br w:type="textWrapping"/>
            </w:r>
            <w:r>
              <w:rPr>
                <w:rFonts w:hint="eastAsia" w:ascii="宋体" w:hAnsi="宋体"/>
                <w:szCs w:val="21"/>
              </w:rPr>
              <w:t>4. 输出决策支持报告</w:t>
            </w:r>
          </w:p>
        </w:tc>
        <w:tc>
          <w:tcPr>
            <w:tcW w:w="1843" w:type="dxa"/>
            <w:vAlign w:val="center"/>
          </w:tcPr>
          <w:p w14:paraId="4841C974">
            <w:pPr>
              <w:adjustRightInd w:val="0"/>
              <w:snapToGrid w:val="0"/>
              <w:spacing w:line="280" w:lineRule="exact"/>
              <w:jc w:val="center"/>
              <w:rPr>
                <w:rFonts w:hint="eastAsia" w:ascii="宋体" w:hAnsi="宋体"/>
                <w:szCs w:val="21"/>
              </w:rPr>
            </w:pPr>
            <w:r>
              <w:rPr>
                <w:rFonts w:hint="eastAsia" w:ascii="宋体" w:hAnsi="宋体"/>
                <w:szCs w:val="21"/>
              </w:rPr>
              <w:t>1. Python/SQL数据挖掘</w:t>
            </w:r>
            <w:r>
              <w:rPr>
                <w:rFonts w:hint="eastAsia" w:ascii="宋体" w:hAnsi="宋体"/>
                <w:szCs w:val="21"/>
              </w:rPr>
              <w:br w:type="textWrapping"/>
            </w:r>
            <w:r>
              <w:rPr>
                <w:rFonts w:hint="eastAsia" w:ascii="宋体" w:hAnsi="宋体"/>
                <w:szCs w:val="21"/>
              </w:rPr>
              <w:t>2. 业财关联分析</w:t>
            </w:r>
            <w:r>
              <w:rPr>
                <w:rFonts w:hint="eastAsia" w:ascii="宋体" w:hAnsi="宋体"/>
                <w:szCs w:val="21"/>
              </w:rPr>
              <w:br w:type="textWrapping"/>
            </w:r>
            <w:r>
              <w:rPr>
                <w:rFonts w:hint="eastAsia" w:ascii="宋体" w:hAnsi="宋体"/>
                <w:szCs w:val="21"/>
              </w:rPr>
              <w:t>3. 预测模型构建</w:t>
            </w:r>
            <w:r>
              <w:rPr>
                <w:rFonts w:hint="eastAsia" w:ascii="宋体" w:hAnsi="宋体"/>
                <w:szCs w:val="21"/>
              </w:rPr>
              <w:br w:type="textWrapping"/>
            </w:r>
            <w:r>
              <w:rPr>
                <w:rFonts w:hint="eastAsia" w:ascii="宋体" w:hAnsi="宋体"/>
                <w:szCs w:val="21"/>
              </w:rPr>
              <w:t>4. 数据驱动业务优化建议</w:t>
            </w:r>
          </w:p>
        </w:tc>
        <w:tc>
          <w:tcPr>
            <w:tcW w:w="2273" w:type="dxa"/>
            <w:vAlign w:val="center"/>
          </w:tcPr>
          <w:p w14:paraId="1EDA487A">
            <w:pPr>
              <w:adjustRightInd w:val="0"/>
              <w:snapToGrid w:val="0"/>
              <w:spacing w:line="280" w:lineRule="exact"/>
              <w:jc w:val="center"/>
              <w:rPr>
                <w:rFonts w:hint="eastAsia" w:ascii="宋体" w:hAnsi="宋体"/>
                <w:szCs w:val="21"/>
              </w:rPr>
            </w:pPr>
            <w:r>
              <w:rPr>
                <w:rFonts w:hint="eastAsia" w:ascii="宋体" w:hAnsi="宋体"/>
                <w:szCs w:val="21"/>
              </w:rPr>
              <w:t>《大数据技术应用基础》</w:t>
            </w:r>
            <w:r>
              <w:rPr>
                <w:rFonts w:hint="eastAsia" w:ascii="宋体" w:hAnsi="宋体"/>
                <w:szCs w:val="21"/>
              </w:rPr>
              <w:br w:type="textWrapping"/>
            </w:r>
            <w:r>
              <w:rPr>
                <w:rFonts w:hint="eastAsia" w:ascii="宋体" w:hAnsi="宋体"/>
                <w:szCs w:val="21"/>
              </w:rPr>
              <w:t>《业财税数据治理》</w:t>
            </w:r>
            <w:r>
              <w:rPr>
                <w:rFonts w:hint="eastAsia" w:ascii="宋体" w:hAnsi="宋体"/>
                <w:szCs w:val="21"/>
              </w:rPr>
              <w:br w:type="textWrapping"/>
            </w:r>
            <w:r>
              <w:rPr>
                <w:rFonts w:hint="eastAsia" w:ascii="宋体" w:hAnsi="宋体"/>
                <w:szCs w:val="21"/>
              </w:rPr>
              <w:t>《业财税综合分析》</w:t>
            </w:r>
          </w:p>
        </w:tc>
      </w:tr>
      <w:tr w14:paraId="3E84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6F13E04">
            <w:pPr>
              <w:adjustRightInd w:val="0"/>
              <w:snapToGrid w:val="0"/>
              <w:spacing w:line="280" w:lineRule="exact"/>
              <w:jc w:val="center"/>
              <w:rPr>
                <w:rFonts w:ascii="宋体"/>
                <w:szCs w:val="21"/>
              </w:rPr>
            </w:pPr>
            <w:r>
              <w:rPr>
                <w:rFonts w:hint="eastAsia" w:ascii="宋体"/>
                <w:szCs w:val="21"/>
              </w:rPr>
              <w:t>4</w:t>
            </w:r>
          </w:p>
        </w:tc>
        <w:tc>
          <w:tcPr>
            <w:tcW w:w="2479" w:type="dxa"/>
            <w:gridSpan w:val="2"/>
            <w:vAlign w:val="center"/>
          </w:tcPr>
          <w:p w14:paraId="0FE4ECC8">
            <w:pPr>
              <w:adjustRightInd w:val="0"/>
              <w:snapToGrid w:val="0"/>
              <w:spacing w:line="280" w:lineRule="exact"/>
              <w:outlineLvl w:val="0"/>
              <w:rPr>
                <w:rFonts w:ascii="宋体"/>
                <w:szCs w:val="21"/>
              </w:rPr>
            </w:pPr>
            <w:r>
              <w:rPr>
                <w:rFonts w:hint="eastAsia" w:ascii="宋体"/>
                <w:szCs w:val="21"/>
              </w:rPr>
              <w:t>商务数据分析师</w:t>
            </w:r>
          </w:p>
        </w:tc>
        <w:tc>
          <w:tcPr>
            <w:tcW w:w="1701" w:type="dxa"/>
            <w:vAlign w:val="center"/>
          </w:tcPr>
          <w:p w14:paraId="5C5C7984">
            <w:pPr>
              <w:adjustRightInd w:val="0"/>
              <w:snapToGrid w:val="0"/>
              <w:spacing w:line="280" w:lineRule="exact"/>
              <w:jc w:val="center"/>
              <w:rPr>
                <w:rFonts w:hint="eastAsia" w:ascii="宋体" w:hAnsi="宋体"/>
                <w:szCs w:val="21"/>
              </w:rPr>
            </w:pPr>
            <w:r>
              <w:rPr>
                <w:rFonts w:hint="eastAsia" w:ascii="宋体" w:hAnsi="宋体"/>
                <w:szCs w:val="21"/>
              </w:rPr>
              <w:t>1. 市场与客户行为分析</w:t>
            </w:r>
            <w:r>
              <w:rPr>
                <w:rFonts w:hint="eastAsia" w:ascii="宋体" w:hAnsi="宋体"/>
                <w:szCs w:val="21"/>
              </w:rPr>
              <w:br w:type="textWrapping"/>
            </w:r>
            <w:r>
              <w:rPr>
                <w:rFonts w:hint="eastAsia" w:ascii="宋体" w:hAnsi="宋体"/>
                <w:szCs w:val="21"/>
              </w:rPr>
              <w:t>2. 销售渠道效果评估</w:t>
            </w:r>
            <w:r>
              <w:rPr>
                <w:rFonts w:hint="eastAsia" w:ascii="宋体" w:hAnsi="宋体"/>
                <w:szCs w:val="21"/>
              </w:rPr>
              <w:br w:type="textWrapping"/>
            </w:r>
            <w:r>
              <w:rPr>
                <w:rFonts w:hint="eastAsia" w:ascii="宋体" w:hAnsi="宋体"/>
                <w:szCs w:val="21"/>
              </w:rPr>
              <w:t>3. 竞争格局研判</w:t>
            </w:r>
            <w:r>
              <w:rPr>
                <w:rFonts w:hint="eastAsia" w:ascii="宋体" w:hAnsi="宋体"/>
                <w:szCs w:val="21"/>
              </w:rPr>
              <w:br w:type="textWrapping"/>
            </w:r>
            <w:r>
              <w:rPr>
                <w:rFonts w:hint="eastAsia" w:ascii="宋体" w:hAnsi="宋体"/>
                <w:szCs w:val="21"/>
              </w:rPr>
              <w:t>4. 商务策略数据支持</w:t>
            </w:r>
          </w:p>
        </w:tc>
        <w:tc>
          <w:tcPr>
            <w:tcW w:w="1843" w:type="dxa"/>
            <w:vAlign w:val="center"/>
          </w:tcPr>
          <w:p w14:paraId="62AE9405">
            <w:pPr>
              <w:adjustRightInd w:val="0"/>
              <w:snapToGrid w:val="0"/>
              <w:spacing w:line="280" w:lineRule="exact"/>
              <w:jc w:val="center"/>
              <w:rPr>
                <w:rFonts w:hint="eastAsia" w:ascii="宋体" w:hAnsi="宋体"/>
                <w:szCs w:val="21"/>
              </w:rPr>
            </w:pPr>
            <w:r>
              <w:rPr>
                <w:rFonts w:hint="eastAsia" w:ascii="宋体" w:hAnsi="宋体"/>
                <w:szCs w:val="21"/>
              </w:rPr>
              <w:t>1. 市场数据采集与清洗</w:t>
            </w:r>
            <w:r>
              <w:rPr>
                <w:rFonts w:hint="eastAsia" w:ascii="宋体" w:hAnsi="宋体"/>
                <w:szCs w:val="21"/>
              </w:rPr>
              <w:br w:type="textWrapping"/>
            </w:r>
            <w:r>
              <w:rPr>
                <w:rFonts w:hint="eastAsia" w:ascii="宋体" w:hAnsi="宋体"/>
                <w:szCs w:val="21"/>
              </w:rPr>
              <w:t>2. 客户画像构建</w:t>
            </w:r>
            <w:r>
              <w:rPr>
                <w:rFonts w:hint="eastAsia" w:ascii="宋体" w:hAnsi="宋体"/>
                <w:szCs w:val="21"/>
              </w:rPr>
              <w:br w:type="textWrapping"/>
            </w:r>
            <w:r>
              <w:rPr>
                <w:rFonts w:hint="eastAsia" w:ascii="宋体" w:hAnsi="宋体"/>
                <w:szCs w:val="21"/>
              </w:rPr>
              <w:t>3. 竞争情报分析</w:t>
            </w:r>
            <w:r>
              <w:rPr>
                <w:rFonts w:hint="eastAsia" w:ascii="宋体" w:hAnsi="宋体"/>
                <w:szCs w:val="21"/>
              </w:rPr>
              <w:br w:type="textWrapping"/>
            </w:r>
            <w:r>
              <w:rPr>
                <w:rFonts w:hint="eastAsia" w:ascii="宋体" w:hAnsi="宋体"/>
                <w:szCs w:val="21"/>
              </w:rPr>
              <w:t>4. 商务智能工具应用（如Power BI）</w:t>
            </w:r>
          </w:p>
        </w:tc>
        <w:tc>
          <w:tcPr>
            <w:tcW w:w="2273" w:type="dxa"/>
            <w:vAlign w:val="center"/>
          </w:tcPr>
          <w:p w14:paraId="5E716034">
            <w:pPr>
              <w:adjustRightInd w:val="0"/>
              <w:snapToGrid w:val="0"/>
              <w:spacing w:line="280" w:lineRule="exact"/>
              <w:jc w:val="center"/>
              <w:rPr>
                <w:rFonts w:hint="eastAsia" w:ascii="宋体" w:hAnsi="宋体"/>
                <w:szCs w:val="21"/>
              </w:rPr>
            </w:pPr>
            <w:r>
              <w:rPr>
                <w:rFonts w:hint="eastAsia" w:ascii="宋体" w:hAnsi="宋体"/>
                <w:szCs w:val="21"/>
              </w:rPr>
              <w:br w:type="textWrapping"/>
            </w:r>
            <w:r>
              <w:rPr>
                <w:rFonts w:hint="eastAsia" w:ascii="宋体" w:hAnsi="宋体"/>
                <w:szCs w:val="21"/>
              </w:rPr>
              <w:t>《大数据技术在业财融合中的应用》</w:t>
            </w:r>
          </w:p>
          <w:p w14:paraId="2CACDFBA">
            <w:pPr>
              <w:adjustRightInd w:val="0"/>
              <w:snapToGrid w:val="0"/>
              <w:spacing w:line="280" w:lineRule="exact"/>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业财融合销售管理</w:t>
            </w:r>
            <w:r>
              <w:rPr>
                <w:rFonts w:hint="eastAsia" w:ascii="宋体" w:hAnsi="宋体"/>
                <w:szCs w:val="21"/>
                <w:lang w:eastAsia="zh-CN"/>
              </w:rPr>
              <w:t>》</w:t>
            </w:r>
          </w:p>
        </w:tc>
      </w:tr>
      <w:tr w14:paraId="4FD16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CAE2E0F">
            <w:pPr>
              <w:adjustRightInd w:val="0"/>
              <w:snapToGrid w:val="0"/>
              <w:spacing w:line="280" w:lineRule="exact"/>
              <w:jc w:val="center"/>
              <w:rPr>
                <w:rFonts w:ascii="宋体"/>
                <w:szCs w:val="21"/>
              </w:rPr>
            </w:pPr>
            <w:r>
              <w:rPr>
                <w:rFonts w:hint="eastAsia" w:ascii="宋体"/>
                <w:szCs w:val="21"/>
              </w:rPr>
              <w:t>5</w:t>
            </w:r>
          </w:p>
        </w:tc>
        <w:tc>
          <w:tcPr>
            <w:tcW w:w="2479" w:type="dxa"/>
            <w:gridSpan w:val="2"/>
            <w:vAlign w:val="center"/>
          </w:tcPr>
          <w:p w14:paraId="4129F6C7">
            <w:pPr>
              <w:adjustRightInd w:val="0"/>
              <w:snapToGrid w:val="0"/>
              <w:spacing w:line="280" w:lineRule="exact"/>
              <w:outlineLvl w:val="0"/>
              <w:rPr>
                <w:rFonts w:hint="eastAsia" w:ascii="宋体" w:hAnsi="宋体"/>
                <w:sz w:val="18"/>
                <w:szCs w:val="18"/>
              </w:rPr>
            </w:pPr>
            <w:r>
              <w:rPr>
                <w:rFonts w:hint="eastAsia" w:ascii="宋体"/>
                <w:szCs w:val="21"/>
              </w:rPr>
              <w:t>财务数字治理专员</w:t>
            </w:r>
          </w:p>
        </w:tc>
        <w:tc>
          <w:tcPr>
            <w:tcW w:w="1701" w:type="dxa"/>
            <w:vAlign w:val="center"/>
          </w:tcPr>
          <w:p w14:paraId="01ECF78E">
            <w:pPr>
              <w:adjustRightInd w:val="0"/>
              <w:snapToGrid w:val="0"/>
              <w:spacing w:line="280" w:lineRule="exact"/>
              <w:jc w:val="center"/>
              <w:rPr>
                <w:rFonts w:hint="eastAsia" w:ascii="宋体" w:hAnsi="宋体"/>
                <w:szCs w:val="21"/>
              </w:rPr>
            </w:pPr>
            <w:r>
              <w:rPr>
                <w:rFonts w:hint="eastAsia" w:ascii="宋体" w:hAnsi="宋体"/>
                <w:szCs w:val="21"/>
              </w:rPr>
              <w:t>1. 数据资产确权与分类</w:t>
            </w:r>
            <w:r>
              <w:rPr>
                <w:rFonts w:hint="eastAsia" w:ascii="宋体" w:hAnsi="宋体"/>
                <w:szCs w:val="21"/>
              </w:rPr>
              <w:br w:type="textWrapping"/>
            </w:r>
            <w:r>
              <w:rPr>
                <w:rFonts w:hint="eastAsia" w:ascii="宋体" w:hAnsi="宋体"/>
                <w:szCs w:val="21"/>
              </w:rPr>
              <w:t>2. 业财税数据治理流程设计</w:t>
            </w:r>
            <w:r>
              <w:rPr>
                <w:rFonts w:hint="eastAsia" w:ascii="宋体" w:hAnsi="宋体"/>
                <w:szCs w:val="21"/>
              </w:rPr>
              <w:br w:type="textWrapping"/>
            </w:r>
            <w:r>
              <w:rPr>
                <w:rFonts w:hint="eastAsia" w:ascii="宋体" w:hAnsi="宋体"/>
                <w:szCs w:val="21"/>
              </w:rPr>
              <w:t>3. 数据质量监控与合规审计</w:t>
            </w:r>
            <w:r>
              <w:rPr>
                <w:rFonts w:hint="eastAsia" w:ascii="宋体" w:hAnsi="宋体"/>
                <w:szCs w:val="21"/>
              </w:rPr>
              <w:br w:type="textWrapping"/>
            </w:r>
            <w:r>
              <w:rPr>
                <w:rFonts w:hint="eastAsia" w:ascii="宋体" w:hAnsi="宋体"/>
                <w:szCs w:val="21"/>
              </w:rPr>
              <w:t>4. 数据资产估值与披露</w:t>
            </w:r>
          </w:p>
        </w:tc>
        <w:tc>
          <w:tcPr>
            <w:tcW w:w="1843" w:type="dxa"/>
            <w:vAlign w:val="center"/>
          </w:tcPr>
          <w:p w14:paraId="7AE1AC18">
            <w:pPr>
              <w:adjustRightInd w:val="0"/>
              <w:snapToGrid w:val="0"/>
              <w:spacing w:line="280" w:lineRule="exact"/>
              <w:jc w:val="center"/>
              <w:rPr>
                <w:rFonts w:hint="eastAsia" w:ascii="宋体" w:hAnsi="宋体"/>
                <w:szCs w:val="21"/>
              </w:rPr>
            </w:pPr>
            <w:r>
              <w:rPr>
                <w:rFonts w:hint="eastAsia" w:ascii="宋体" w:hAnsi="宋体"/>
                <w:szCs w:val="21"/>
              </w:rPr>
              <w:t>1. 数据治理标准制定</w:t>
            </w:r>
            <w:r>
              <w:rPr>
                <w:rFonts w:hint="eastAsia" w:ascii="宋体" w:hAnsi="宋体"/>
                <w:szCs w:val="21"/>
              </w:rPr>
              <w:br w:type="textWrapping"/>
            </w:r>
            <w:r>
              <w:rPr>
                <w:rFonts w:hint="eastAsia" w:ascii="宋体" w:hAnsi="宋体"/>
                <w:szCs w:val="21"/>
              </w:rPr>
              <w:t>2. 数据安全与隐私保护</w:t>
            </w:r>
            <w:r>
              <w:rPr>
                <w:rFonts w:hint="eastAsia" w:ascii="宋体" w:hAnsi="宋体"/>
                <w:szCs w:val="21"/>
              </w:rPr>
              <w:br w:type="textWrapping"/>
            </w:r>
            <w:r>
              <w:rPr>
                <w:rFonts w:hint="eastAsia" w:ascii="宋体" w:hAnsi="宋体"/>
                <w:szCs w:val="21"/>
              </w:rPr>
              <w:t>3. 数据资产评估方法</w:t>
            </w:r>
            <w:r>
              <w:rPr>
                <w:rFonts w:hint="eastAsia" w:ascii="宋体" w:hAnsi="宋体"/>
                <w:szCs w:val="21"/>
              </w:rPr>
              <w:br w:type="textWrapping"/>
            </w:r>
            <w:r>
              <w:rPr>
                <w:rFonts w:hint="eastAsia" w:ascii="宋体" w:hAnsi="宋体"/>
                <w:szCs w:val="21"/>
              </w:rPr>
              <w:t>4. 法规合规性审查</w:t>
            </w:r>
          </w:p>
        </w:tc>
        <w:tc>
          <w:tcPr>
            <w:tcW w:w="2273" w:type="dxa"/>
            <w:vAlign w:val="center"/>
          </w:tcPr>
          <w:p w14:paraId="3E9406B0">
            <w:pPr>
              <w:adjustRightInd w:val="0"/>
              <w:snapToGrid w:val="0"/>
              <w:spacing w:line="280" w:lineRule="exact"/>
              <w:jc w:val="center"/>
              <w:rPr>
                <w:rFonts w:hint="eastAsia" w:ascii="宋体" w:hAnsi="宋体"/>
                <w:szCs w:val="21"/>
              </w:rPr>
            </w:pPr>
            <w:r>
              <w:rPr>
                <w:rFonts w:hint="eastAsia" w:ascii="宋体" w:hAnsi="宋体"/>
                <w:szCs w:val="21"/>
              </w:rPr>
              <w:t>《业财税数据治理》</w:t>
            </w:r>
            <w:r>
              <w:rPr>
                <w:rFonts w:hint="eastAsia" w:ascii="宋体" w:hAnsi="宋体"/>
                <w:szCs w:val="21"/>
              </w:rPr>
              <w:br w:type="textWrapping"/>
            </w:r>
            <w:r>
              <w:rPr>
                <w:rFonts w:hint="eastAsia" w:ascii="宋体" w:hAnsi="宋体"/>
                <w:szCs w:val="21"/>
              </w:rPr>
              <w:t>《经济法基础》</w:t>
            </w:r>
          </w:p>
        </w:tc>
      </w:tr>
      <w:tr w14:paraId="218DD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ECF173E">
            <w:pPr>
              <w:adjustRightInd w:val="0"/>
              <w:snapToGrid w:val="0"/>
              <w:spacing w:line="280" w:lineRule="exact"/>
              <w:jc w:val="center"/>
              <w:rPr>
                <w:rFonts w:ascii="宋体"/>
                <w:szCs w:val="21"/>
              </w:rPr>
            </w:pPr>
            <w:r>
              <w:rPr>
                <w:rFonts w:hint="eastAsia" w:ascii="宋体"/>
                <w:szCs w:val="21"/>
              </w:rPr>
              <w:t>6</w:t>
            </w:r>
          </w:p>
        </w:tc>
        <w:tc>
          <w:tcPr>
            <w:tcW w:w="2479" w:type="dxa"/>
            <w:gridSpan w:val="2"/>
            <w:vAlign w:val="center"/>
          </w:tcPr>
          <w:p w14:paraId="59BB7A1E">
            <w:pPr>
              <w:adjustRightInd w:val="0"/>
              <w:snapToGrid w:val="0"/>
              <w:spacing w:line="280" w:lineRule="exact"/>
              <w:outlineLvl w:val="0"/>
              <w:rPr>
                <w:rFonts w:ascii="宋体"/>
                <w:szCs w:val="21"/>
              </w:rPr>
            </w:pPr>
            <w:r>
              <w:rPr>
                <w:rFonts w:hint="eastAsia" w:ascii="宋体"/>
                <w:szCs w:val="21"/>
              </w:rPr>
              <w:t>会计岗位</w:t>
            </w:r>
          </w:p>
        </w:tc>
        <w:tc>
          <w:tcPr>
            <w:tcW w:w="1701" w:type="dxa"/>
            <w:vAlign w:val="center"/>
          </w:tcPr>
          <w:p w14:paraId="0848AD83">
            <w:pPr>
              <w:adjustRightInd w:val="0"/>
              <w:snapToGrid w:val="0"/>
              <w:spacing w:line="280" w:lineRule="exact"/>
              <w:jc w:val="center"/>
              <w:rPr>
                <w:rFonts w:hint="eastAsia" w:ascii="宋体" w:hAnsi="宋体"/>
                <w:szCs w:val="21"/>
              </w:rPr>
            </w:pPr>
            <w:r>
              <w:rPr>
                <w:rFonts w:hint="eastAsia" w:ascii="宋体" w:hAnsi="宋体"/>
                <w:szCs w:val="21"/>
              </w:rPr>
              <w:t>企业经济业务核算</w:t>
            </w:r>
          </w:p>
          <w:p w14:paraId="6735418B">
            <w:pPr>
              <w:adjustRightInd w:val="0"/>
              <w:snapToGrid w:val="0"/>
              <w:spacing w:line="280" w:lineRule="exact"/>
              <w:jc w:val="center"/>
              <w:rPr>
                <w:rFonts w:hint="eastAsia" w:ascii="宋体" w:hAnsi="宋体"/>
                <w:szCs w:val="21"/>
              </w:rPr>
            </w:pPr>
          </w:p>
        </w:tc>
        <w:tc>
          <w:tcPr>
            <w:tcW w:w="1843" w:type="dxa"/>
            <w:vAlign w:val="center"/>
          </w:tcPr>
          <w:p w14:paraId="0120723A">
            <w:pPr>
              <w:adjustRightInd w:val="0"/>
              <w:snapToGrid w:val="0"/>
              <w:spacing w:line="280" w:lineRule="exact"/>
              <w:jc w:val="center"/>
              <w:rPr>
                <w:rFonts w:hint="eastAsia" w:ascii="宋体" w:hAnsi="宋体"/>
                <w:szCs w:val="21"/>
              </w:rPr>
            </w:pPr>
            <w:r>
              <w:rPr>
                <w:rFonts w:hint="eastAsia" w:ascii="宋体" w:hAnsi="宋体"/>
                <w:szCs w:val="21"/>
              </w:rPr>
              <w:t>1.使用财务软件的能力</w:t>
            </w:r>
          </w:p>
          <w:p w14:paraId="54CAD0CB">
            <w:pPr>
              <w:adjustRightInd w:val="0"/>
              <w:snapToGrid w:val="0"/>
              <w:spacing w:line="280" w:lineRule="exact"/>
              <w:jc w:val="center"/>
              <w:rPr>
                <w:rFonts w:hint="eastAsia" w:ascii="宋体" w:hAnsi="宋体"/>
                <w:szCs w:val="21"/>
              </w:rPr>
            </w:pPr>
            <w:r>
              <w:rPr>
                <w:rFonts w:hint="eastAsia" w:ascii="宋体" w:hAnsi="宋体"/>
                <w:szCs w:val="21"/>
              </w:rPr>
              <w:t>2.根据经济业务填制审核会计凭证、登记账簿、进行成本计算的能力</w:t>
            </w:r>
          </w:p>
          <w:p w14:paraId="03B8DEA8">
            <w:pPr>
              <w:adjustRightInd w:val="0"/>
              <w:snapToGrid w:val="0"/>
              <w:spacing w:line="280" w:lineRule="exact"/>
              <w:jc w:val="center"/>
              <w:rPr>
                <w:rFonts w:hint="eastAsia" w:ascii="宋体" w:hAnsi="宋体"/>
                <w:szCs w:val="21"/>
              </w:rPr>
            </w:pPr>
            <w:r>
              <w:rPr>
                <w:rFonts w:hint="eastAsia" w:ascii="宋体" w:hAnsi="宋体"/>
                <w:szCs w:val="21"/>
              </w:rPr>
              <w:t>3.编制财务报表能力</w:t>
            </w:r>
          </w:p>
        </w:tc>
        <w:tc>
          <w:tcPr>
            <w:tcW w:w="2273" w:type="dxa"/>
            <w:vAlign w:val="center"/>
          </w:tcPr>
          <w:p w14:paraId="664288FA">
            <w:pPr>
              <w:adjustRightInd w:val="0"/>
              <w:snapToGrid w:val="0"/>
              <w:spacing w:line="280" w:lineRule="exact"/>
              <w:jc w:val="center"/>
              <w:rPr>
                <w:rFonts w:hint="eastAsia" w:ascii="宋体" w:hAnsi="宋体"/>
                <w:szCs w:val="21"/>
              </w:rPr>
            </w:pPr>
            <w:r>
              <w:rPr>
                <w:rFonts w:hint="eastAsia" w:ascii="宋体" w:hAnsi="宋体"/>
                <w:szCs w:val="21"/>
              </w:rPr>
              <w:t>《会计基础》《经济法基础》 《会计基础实训》《会计综合技能应用》</w:t>
            </w:r>
          </w:p>
        </w:tc>
      </w:tr>
    </w:tbl>
    <w:p w14:paraId="4AD87376">
      <w:pPr>
        <w:adjustRightInd w:val="0"/>
        <w:snapToGrid w:val="0"/>
        <w:spacing w:before="156" w:beforeLines="50" w:line="360" w:lineRule="auto"/>
        <w:ind w:firstLine="420"/>
        <w:outlineLvl w:val="1"/>
        <w:rPr>
          <w:rFonts w:hint="eastAsia" w:ascii="宋体" w:hAnsi="宋体" w:cs="Angsana New"/>
          <w:b/>
          <w:sz w:val="24"/>
          <w:szCs w:val="24"/>
          <w:lang w:bidi="th-TH"/>
        </w:rPr>
        <w:sectPr>
          <w:pgSz w:w="11906" w:h="16838"/>
          <w:pgMar w:top="1417" w:right="1701" w:bottom="1417" w:left="1701" w:header="851" w:footer="992" w:gutter="0"/>
          <w:cols w:space="0" w:num="1"/>
          <w:docGrid w:type="lines" w:linePitch="312" w:charSpace="0"/>
        </w:sectPr>
      </w:pPr>
    </w:p>
    <w:p w14:paraId="596FC956">
      <w:pPr>
        <w:adjustRightInd w:val="0"/>
        <w:snapToGrid w:val="0"/>
        <w:spacing w:before="156" w:beforeLines="50" w:line="360" w:lineRule="auto"/>
        <w:ind w:firstLine="420"/>
        <w:outlineLvl w:val="1"/>
        <w:rPr>
          <w:rFonts w:hint="eastAsia" w:ascii="宋体" w:hAnsi="宋体" w:cs="Angsana New"/>
          <w:b/>
          <w:sz w:val="24"/>
          <w:szCs w:val="24"/>
          <w:lang w:bidi="th-TH"/>
        </w:rPr>
      </w:pPr>
      <w:r>
        <w:rPr>
          <w:rFonts w:hint="eastAsia" w:ascii="宋体" w:hAnsi="宋体" w:cs="Angsana New"/>
          <w:b/>
          <w:sz w:val="24"/>
          <w:szCs w:val="24"/>
          <w:lang w:bidi="th-TH"/>
        </w:rPr>
        <w:t>（二）岗位分析图</w:t>
      </w:r>
    </w:p>
    <w:p w14:paraId="308BC2D5">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eastAsia="宋体" w:cs="Angsana New"/>
          <w:color w:val="auto"/>
          <w:sz w:val="24"/>
          <w:szCs w:val="24"/>
          <w:lang w:eastAsia="zh-CN" w:bidi="th-TH"/>
        </w:rPr>
      </w:pPr>
      <w:r>
        <w:rPr>
          <w:rFonts w:hint="eastAsia" w:ascii="宋体" w:cs="Angsana New"/>
          <w:color w:val="auto"/>
          <w:sz w:val="24"/>
          <w:szCs w:val="24"/>
          <w:lang w:eastAsia="zh-CN" w:bidi="th-TH"/>
        </w:rPr>
        <w:drawing>
          <wp:inline distT="0" distB="0" distL="114300" distR="114300">
            <wp:extent cx="5394960" cy="8239125"/>
            <wp:effectExtent l="0" t="0" r="15240" b="9525"/>
            <wp:docPr id="2" name="图片 2" descr="238b7f9ff5b76d2519e0cf884e01e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38b7f9ff5b76d2519e0cf884e01eba"/>
                    <pic:cNvPicPr>
                      <a:picLocks noChangeAspect="1"/>
                    </pic:cNvPicPr>
                  </pic:nvPicPr>
                  <pic:blipFill>
                    <a:blip r:embed="rId9"/>
                    <a:stretch>
                      <a:fillRect/>
                    </a:stretch>
                  </pic:blipFill>
                  <pic:spPr>
                    <a:xfrm>
                      <a:off x="0" y="0"/>
                      <a:ext cx="5394960" cy="8239125"/>
                    </a:xfrm>
                    <a:prstGeom prst="rect">
                      <a:avLst/>
                    </a:prstGeom>
                  </pic:spPr>
                </pic:pic>
              </a:graphicData>
            </a:graphic>
          </wp:inline>
        </w:drawing>
      </w:r>
      <w:r>
        <w:rPr>
          <w:rFonts w:hint="eastAsia" w:ascii="宋体" w:cs="Angsana New"/>
          <w:color w:val="auto"/>
          <w:sz w:val="24"/>
          <w:szCs w:val="24"/>
          <w:lang w:eastAsia="zh-CN" w:bidi="th-TH"/>
        </w:rPr>
        <w:t>）</w:t>
      </w:r>
    </w:p>
    <w:p w14:paraId="7CBE3001">
      <w:pPr>
        <w:spacing w:line="360" w:lineRule="auto"/>
        <w:ind w:firstLine="560" w:firstLineChars="200"/>
        <w:jc w:val="left"/>
        <w:outlineLvl w:val="0"/>
        <w:rPr>
          <w:rFonts w:hint="eastAsia" w:ascii="黑体" w:hAnsi="黑体" w:eastAsia="黑体" w:cs="黑体"/>
          <w:sz w:val="28"/>
          <w:szCs w:val="28"/>
        </w:rPr>
      </w:pPr>
      <w:r>
        <w:rPr>
          <w:rFonts w:hint="eastAsia" w:ascii="黑体" w:hAnsi="黑体" w:eastAsia="黑体" w:cs="黑体"/>
          <w:sz w:val="28"/>
          <w:szCs w:val="28"/>
        </w:rPr>
        <w:t>六、课程设置及要求</w:t>
      </w:r>
    </w:p>
    <w:p w14:paraId="27449345">
      <w:pPr>
        <w:adjustRightInd w:val="0"/>
        <w:snapToGrid w:val="0"/>
        <w:spacing w:line="360" w:lineRule="auto"/>
        <w:ind w:firstLine="482" w:firstLineChars="200"/>
        <w:jc w:val="left"/>
        <w:outlineLvl w:val="1"/>
        <w:rPr>
          <w:rFonts w:hint="eastAsia"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0CD2901E">
      <w:pPr>
        <w:spacing w:line="360" w:lineRule="auto"/>
        <w:ind w:firstLine="482"/>
        <w:rPr>
          <w:rFonts w:hint="eastAsia" w:ascii="宋体" w:hAnsi="宋体" w:cs="Angsana New"/>
          <w:bCs/>
          <w:sz w:val="24"/>
          <w:szCs w:val="24"/>
          <w:lang w:bidi="th-TH"/>
        </w:rPr>
      </w:pPr>
      <w:r>
        <w:rPr>
          <w:rFonts w:hint="eastAsia" w:ascii="宋体" w:hAnsi="宋体" w:cs="Angsana New"/>
          <w:bCs/>
          <w:sz w:val="24"/>
          <w:szCs w:val="24"/>
          <w:lang w:bidi="th-TH"/>
        </w:rPr>
        <w:t>以立德树人为根本任务，落实“课程思政”要求，促进产教深度融合，推进“岗课赛证”综合育人，构建“文化素养课程平台、专业群课程平台、素质能力选修课程平台 + 专业核心能力课程模块、专业拓展选修课程模块”的“3平台</w:t>
      </w:r>
      <w:r>
        <w:rPr>
          <w:rFonts w:ascii="宋体" w:hAnsi="宋体" w:cs="Angsana New"/>
          <w:bCs/>
          <w:sz w:val="24"/>
          <w:szCs w:val="24"/>
          <w:lang w:bidi="th-TH"/>
        </w:rPr>
        <w:t>+2</w:t>
      </w:r>
      <w:r>
        <w:rPr>
          <w:rFonts w:hint="eastAsia" w:ascii="宋体" w:hAnsi="宋体" w:cs="Angsana New"/>
          <w:bCs/>
          <w:sz w:val="24"/>
          <w:szCs w:val="24"/>
          <w:lang w:bidi="th-TH"/>
        </w:rPr>
        <w:t>模块”课程体系，满足学生的多样化选择、多路径成才。</w:t>
      </w:r>
    </w:p>
    <w:p w14:paraId="04EF7E68">
      <w:pPr>
        <w:adjustRightInd w:val="0"/>
        <w:snapToGrid w:val="0"/>
        <w:spacing w:line="360" w:lineRule="auto"/>
        <w:jc w:val="center"/>
        <w:rPr>
          <w:rFonts w:hint="eastAsia" w:ascii="宋体" w:hAnsi="宋体" w:cs="Angsana New"/>
          <w:b/>
          <w:color w:val="00B0F0"/>
          <w:sz w:val="24"/>
          <w:szCs w:val="24"/>
          <w:lang w:bidi="th-TH"/>
        </w:rPr>
      </w:pPr>
      <w:r>
        <w:drawing>
          <wp:inline distT="0" distB="0" distL="114300" distR="114300">
            <wp:extent cx="5397500" cy="5467985"/>
            <wp:effectExtent l="0" t="0" r="1270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397500" cy="5467985"/>
                    </a:xfrm>
                    <a:prstGeom prst="rect">
                      <a:avLst/>
                    </a:prstGeom>
                    <a:noFill/>
                    <a:ln>
                      <a:noFill/>
                    </a:ln>
                  </pic:spPr>
                </pic:pic>
              </a:graphicData>
            </a:graphic>
          </wp:inline>
        </w:drawing>
      </w:r>
    </w:p>
    <w:p w14:paraId="72D11566">
      <w:pPr>
        <w:adjustRightInd w:val="0"/>
        <w:snapToGrid w:val="0"/>
        <w:spacing w:line="360" w:lineRule="auto"/>
        <w:ind w:firstLine="482" w:firstLineChars="200"/>
        <w:jc w:val="left"/>
        <w:outlineLvl w:val="1"/>
        <w:rPr>
          <w:rFonts w:hint="eastAsia" w:ascii="宋体" w:hAnsi="宋体" w:cs="Angsana New"/>
          <w:b/>
          <w:sz w:val="24"/>
          <w:szCs w:val="24"/>
          <w:lang w:bidi="th-TH"/>
        </w:rPr>
      </w:pPr>
      <w:r>
        <w:rPr>
          <w:rFonts w:hint="eastAsia" w:ascii="宋体" w:hAnsi="宋体" w:cs="Angsana New"/>
          <w:b/>
          <w:sz w:val="24"/>
          <w:szCs w:val="24"/>
          <w:lang w:bidi="th-TH"/>
        </w:rPr>
        <w:t>（二）课程设置</w:t>
      </w:r>
    </w:p>
    <w:p w14:paraId="5A2EDE0B">
      <w:pPr>
        <w:spacing w:line="360" w:lineRule="auto"/>
        <w:ind w:firstLine="480" w:firstLineChars="200"/>
        <w:rPr>
          <w:lang w:bidi="th-TH"/>
        </w:rPr>
      </w:pPr>
      <w:r>
        <w:rPr>
          <w:rFonts w:hint="eastAsia" w:asciiTheme="minorEastAsia" w:hAnsiTheme="minorEastAsia" w:eastAsiaTheme="minorEastAsia"/>
          <w:sz w:val="24"/>
          <w:szCs w:val="24"/>
          <w:lang w:bidi="th-TH"/>
        </w:rPr>
        <w:t>本专业设置A类课</w:t>
      </w:r>
      <w:r>
        <w:rPr>
          <w:rFonts w:hint="eastAsia" w:asciiTheme="minorEastAsia" w:hAnsiTheme="minorEastAsia" w:eastAsiaTheme="minorEastAsia"/>
          <w:sz w:val="24"/>
          <w:szCs w:val="24"/>
          <w:lang w:val="en-US" w:eastAsia="zh-CN" w:bidi="th-TH"/>
        </w:rPr>
        <w:t>20</w:t>
      </w:r>
      <w:r>
        <w:rPr>
          <w:rFonts w:hint="eastAsia" w:asciiTheme="minorEastAsia" w:hAnsiTheme="minorEastAsia" w:eastAsiaTheme="minorEastAsia"/>
          <w:sz w:val="24"/>
          <w:szCs w:val="24"/>
          <w:lang w:bidi="th-TH"/>
        </w:rPr>
        <w:t>门、B类课2</w:t>
      </w:r>
      <w:r>
        <w:rPr>
          <w:rFonts w:hint="eastAsia" w:asciiTheme="minorEastAsia" w:hAnsiTheme="minorEastAsia" w:eastAsiaTheme="minorEastAsia"/>
          <w:sz w:val="24"/>
          <w:szCs w:val="24"/>
          <w:lang w:val="en-US" w:eastAsia="zh-CN" w:bidi="th-TH"/>
        </w:rPr>
        <w:t>6</w:t>
      </w:r>
      <w:r>
        <w:rPr>
          <w:rFonts w:hint="eastAsia" w:asciiTheme="minorEastAsia" w:hAnsiTheme="minorEastAsia" w:eastAsiaTheme="minorEastAsia"/>
          <w:sz w:val="24"/>
          <w:szCs w:val="24"/>
          <w:lang w:bidi="th-TH"/>
        </w:rPr>
        <w:t>门、C类课</w:t>
      </w:r>
      <w:r>
        <w:rPr>
          <w:rFonts w:hint="eastAsia" w:asciiTheme="minorEastAsia" w:hAnsiTheme="minorEastAsia" w:eastAsiaTheme="minorEastAsia"/>
          <w:sz w:val="24"/>
          <w:szCs w:val="24"/>
          <w:lang w:val="en-US" w:eastAsia="zh-CN" w:bidi="th-TH"/>
        </w:rPr>
        <w:t>18</w:t>
      </w:r>
      <w:r>
        <w:rPr>
          <w:rFonts w:hint="eastAsia" w:asciiTheme="minorEastAsia" w:hAnsiTheme="minorEastAsia" w:eastAsiaTheme="minorEastAsia"/>
          <w:sz w:val="24"/>
          <w:szCs w:val="24"/>
          <w:lang w:bidi="th-TH"/>
        </w:rPr>
        <w:t>门，专业课课程标准</w:t>
      </w:r>
      <w:r>
        <w:rPr>
          <w:rFonts w:hint="eastAsia" w:asciiTheme="minorEastAsia" w:hAnsiTheme="minorEastAsia" w:eastAsiaTheme="minorEastAsia"/>
          <w:sz w:val="24"/>
          <w:szCs w:val="24"/>
          <w:lang w:val="en-US" w:eastAsia="zh-CN" w:bidi="th-TH"/>
        </w:rPr>
        <w:t>30</w:t>
      </w:r>
      <w:r>
        <w:rPr>
          <w:rFonts w:hint="eastAsia" w:asciiTheme="minorEastAsia" w:hAnsiTheme="minorEastAsia" w:eastAsiaTheme="minorEastAsia"/>
          <w:sz w:val="24"/>
          <w:szCs w:val="24"/>
          <w:lang w:bidi="th-TH"/>
        </w:rPr>
        <w:t>门，专业选修课程160学时，考试课18门，考查课4</w:t>
      </w:r>
      <w:r>
        <w:rPr>
          <w:rFonts w:hint="eastAsia" w:asciiTheme="minorEastAsia" w:hAnsiTheme="minorEastAsia" w:eastAsiaTheme="minorEastAsia"/>
          <w:sz w:val="24"/>
          <w:szCs w:val="24"/>
          <w:lang w:val="en-US" w:eastAsia="zh-CN" w:bidi="th-TH"/>
        </w:rPr>
        <w:t>6</w:t>
      </w:r>
      <w:r>
        <w:rPr>
          <w:rFonts w:hint="eastAsia" w:asciiTheme="minorEastAsia" w:hAnsiTheme="minorEastAsia" w:eastAsiaTheme="minorEastAsia"/>
          <w:sz w:val="24"/>
          <w:szCs w:val="24"/>
          <w:lang w:bidi="th-TH"/>
        </w:rPr>
        <w:t>门。</w:t>
      </w:r>
    </w:p>
    <w:p w14:paraId="53092CBA">
      <w:pPr>
        <w:spacing w:line="360" w:lineRule="auto"/>
        <w:ind w:firstLine="480" w:firstLineChars="200"/>
        <w:rPr>
          <w:rFonts w:hint="eastAsia"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2205C885">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本专业公共基础课5</w:t>
      </w:r>
      <w:r>
        <w:rPr>
          <w:rFonts w:hint="eastAsia" w:ascii="宋体" w:hAnsi="宋体" w:cs="Angsana New"/>
          <w:sz w:val="24"/>
          <w:szCs w:val="24"/>
          <w:lang w:val="en-US" w:eastAsia="zh-CN" w:bidi="th-TH"/>
        </w:rPr>
        <w:t>5</w:t>
      </w:r>
      <w:r>
        <w:rPr>
          <w:rFonts w:hint="eastAsia" w:ascii="宋体" w:hAnsi="宋体" w:cs="Angsana New"/>
          <w:sz w:val="24"/>
          <w:szCs w:val="24"/>
          <w:lang w:bidi="th-TH"/>
        </w:rPr>
        <w:t>学分，其中体育课</w:t>
      </w:r>
      <w:r>
        <w:rPr>
          <w:rFonts w:ascii="宋体" w:hAnsi="宋体" w:cs="Angsana New"/>
          <w:sz w:val="24"/>
          <w:szCs w:val="24"/>
          <w:lang w:bidi="th-TH"/>
        </w:rPr>
        <w:t>6</w:t>
      </w:r>
      <w:r>
        <w:rPr>
          <w:rFonts w:hint="eastAsia" w:ascii="宋体" w:hAnsi="宋体" w:cs="Angsana New"/>
          <w:sz w:val="24"/>
          <w:szCs w:val="24"/>
          <w:lang w:bidi="th-TH"/>
        </w:rPr>
        <w:t>学分、毛泽东思想和中国特色社会主义理论体系概论2学分、习近平新时代中国特色社会主义思想概论</w:t>
      </w:r>
      <w:r>
        <w:rPr>
          <w:rFonts w:ascii="宋体" w:hAnsi="宋体" w:cs="Angsana New"/>
          <w:sz w:val="24"/>
          <w:szCs w:val="24"/>
          <w:lang w:bidi="th-TH"/>
        </w:rPr>
        <w:t>3</w:t>
      </w:r>
      <w:r>
        <w:rPr>
          <w:rFonts w:hint="eastAsia" w:ascii="宋体" w:hAnsi="宋体" w:cs="Angsana New"/>
          <w:sz w:val="24"/>
          <w:szCs w:val="24"/>
          <w:lang w:bidi="th-TH"/>
        </w:rPr>
        <w:t>学分、思想道德修养与法律基础</w:t>
      </w:r>
      <w:r>
        <w:rPr>
          <w:rFonts w:ascii="宋体" w:hAnsi="宋体" w:cs="Angsana New"/>
          <w:sz w:val="24"/>
          <w:szCs w:val="24"/>
          <w:lang w:bidi="th-TH"/>
        </w:rPr>
        <w:t>3</w:t>
      </w:r>
      <w:r>
        <w:rPr>
          <w:rFonts w:hint="eastAsia" w:ascii="宋体" w:hAnsi="宋体" w:cs="Angsana New"/>
          <w:sz w:val="24"/>
          <w:szCs w:val="24"/>
          <w:lang w:bidi="th-TH"/>
        </w:rPr>
        <w:t>学分、</w:t>
      </w:r>
      <w:r>
        <w:rPr>
          <w:rFonts w:hint="eastAsia" w:ascii="宋体" w:hAnsi="宋体" w:cs="Angsana New"/>
          <w:sz w:val="24"/>
          <w:szCs w:val="24"/>
          <w:lang w:val="en-US" w:eastAsia="zh-CN" w:bidi="th-TH"/>
        </w:rPr>
        <w:t>四史1学分、</w:t>
      </w:r>
      <w:r>
        <w:rPr>
          <w:rFonts w:hint="eastAsia" w:ascii="宋体" w:hAnsi="宋体" w:cs="Angsana New"/>
          <w:sz w:val="24"/>
          <w:szCs w:val="24"/>
          <w:lang w:bidi="th-TH"/>
        </w:rPr>
        <w:t>形势与政策</w:t>
      </w:r>
      <w:r>
        <w:rPr>
          <w:rFonts w:ascii="宋体" w:hAnsi="宋体" w:cs="Angsana New"/>
          <w:sz w:val="24"/>
          <w:szCs w:val="24"/>
          <w:lang w:bidi="th-TH"/>
        </w:rPr>
        <w:t>1</w:t>
      </w:r>
      <w:r>
        <w:rPr>
          <w:rFonts w:hint="eastAsia" w:ascii="宋体" w:hAnsi="宋体" w:cs="Angsana New"/>
          <w:sz w:val="24"/>
          <w:szCs w:val="24"/>
          <w:lang w:bidi="th-TH"/>
        </w:rPr>
        <w:t>学分，劳动教育</w:t>
      </w:r>
      <w:r>
        <w:rPr>
          <w:rFonts w:ascii="宋体" w:hAnsi="宋体" w:cs="Angsana New"/>
          <w:sz w:val="24"/>
          <w:szCs w:val="24"/>
          <w:lang w:bidi="th-TH"/>
        </w:rPr>
        <w:t>1</w:t>
      </w:r>
      <w:r>
        <w:rPr>
          <w:rFonts w:hint="eastAsia" w:ascii="宋体" w:hAnsi="宋体" w:cs="Angsana New"/>
          <w:sz w:val="24"/>
          <w:szCs w:val="24"/>
          <w:lang w:bidi="th-TH"/>
        </w:rPr>
        <w:t>学分。</w:t>
      </w:r>
    </w:p>
    <w:p w14:paraId="52EA4DD6">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文化素养类公共必修课程，包括思品修养课、基础素养课、健康素养课、美育素养课、劳动素养课和职业素养课六个模块（见表3）。</w:t>
      </w:r>
    </w:p>
    <w:p w14:paraId="3092B25C">
      <w:pPr>
        <w:adjustRightInd w:val="0"/>
        <w:snapToGrid w:val="0"/>
        <w:jc w:val="center"/>
        <w:rPr>
          <w:rFonts w:hint="eastAsia" w:ascii="宋体" w:hAnsi="宋体"/>
          <w:b/>
          <w:bCs/>
          <w:kern w:val="0"/>
          <w:szCs w:val="21"/>
        </w:rPr>
      </w:pPr>
      <w:r>
        <w:rPr>
          <w:rFonts w:hint="eastAsia" w:ascii="宋体" w:hAnsi="宋体"/>
          <w:b/>
          <w:bCs/>
          <w:kern w:val="0"/>
          <w:szCs w:val="21"/>
        </w:rPr>
        <w:t>表3  文化素养课程开设表</w:t>
      </w:r>
    </w:p>
    <w:tbl>
      <w:tblPr>
        <w:tblStyle w:val="15"/>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197E2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Align w:val="center"/>
          </w:tcPr>
          <w:p w14:paraId="06D12F85">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2218BF5C">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2A71EF2F">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6FF1B1D7">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26408828">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14B43489">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6050229E">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7D4CDFBC">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0930356C">
            <w:pPr>
              <w:spacing w:line="28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13F82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restart"/>
            <w:vAlign w:val="center"/>
          </w:tcPr>
          <w:p w14:paraId="17FBC57B">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30D3BCE7">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修养课</w:t>
            </w:r>
          </w:p>
        </w:tc>
        <w:tc>
          <w:tcPr>
            <w:tcW w:w="2693" w:type="dxa"/>
            <w:shd w:val="clear" w:color="000000" w:fill="FFFFFF"/>
            <w:vAlign w:val="center"/>
          </w:tcPr>
          <w:p w14:paraId="4602ACC1">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6FAA42D9">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71D37DC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598C704A">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BBCA79D">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F771EF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7EC6137">
            <w:pPr>
              <w:spacing w:line="280" w:lineRule="exact"/>
              <w:jc w:val="center"/>
              <w:rPr>
                <w:rFonts w:hint="eastAsia" w:asciiTheme="minorEastAsia" w:hAnsiTheme="minorEastAsia" w:eastAsiaTheme="minorEastAsia"/>
                <w:szCs w:val="21"/>
              </w:rPr>
            </w:pPr>
            <w:r>
              <w:rPr>
                <w:rFonts w:hint="eastAsia" w:asciiTheme="minorEastAsia" w:hAnsiTheme="minorEastAsia" w:eastAsiaTheme="minorEastAsia"/>
                <w:szCs w:val="21"/>
              </w:rPr>
              <w:t>马克思主义</w:t>
            </w:r>
          </w:p>
          <w:p w14:paraId="725A799B">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44BC0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331B4826">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8ABA722">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2C378836">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697156AF">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3C1753F6">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5FCDCC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0AECB6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CBD4991">
            <w:pPr>
              <w:spacing w:line="280" w:lineRule="exact"/>
              <w:jc w:val="center"/>
              <w:rPr>
                <w:rFonts w:hint="eastAsia" w:asciiTheme="minorEastAsia" w:hAnsiTheme="minorEastAsia" w:eastAsiaTheme="minorEastAsia" w:cstheme="minorEastAsia"/>
                <w:szCs w:val="21"/>
              </w:rPr>
            </w:pPr>
          </w:p>
        </w:tc>
      </w:tr>
      <w:tr w14:paraId="033B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7C5D0EF4">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1913A0DA">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210E8890">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599CD16">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85D977D">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9896FB9">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88FF9D4">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367009F7">
            <w:pPr>
              <w:spacing w:line="280" w:lineRule="exact"/>
              <w:jc w:val="center"/>
              <w:rPr>
                <w:rFonts w:hint="eastAsia" w:asciiTheme="minorEastAsia" w:hAnsiTheme="minorEastAsia" w:eastAsiaTheme="minorEastAsia" w:cstheme="minorEastAsia"/>
                <w:szCs w:val="21"/>
              </w:rPr>
            </w:pPr>
          </w:p>
        </w:tc>
      </w:tr>
      <w:tr w14:paraId="3A88D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5AB00C12">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B245833">
            <w:pPr>
              <w:spacing w:line="280" w:lineRule="exact"/>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四史</w:t>
            </w:r>
          </w:p>
        </w:tc>
        <w:tc>
          <w:tcPr>
            <w:tcW w:w="680" w:type="dxa"/>
            <w:shd w:val="clear" w:color="000000" w:fill="FFFFFF"/>
            <w:vAlign w:val="center"/>
          </w:tcPr>
          <w:p w14:paraId="2CB8917B">
            <w:pPr>
              <w:spacing w:line="28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0C8F224F">
            <w:pPr>
              <w:spacing w:line="28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27FA3E0C">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E22C85F">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264879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38414B22">
            <w:pPr>
              <w:spacing w:line="280" w:lineRule="exact"/>
              <w:jc w:val="center"/>
              <w:rPr>
                <w:rFonts w:hint="eastAsia" w:asciiTheme="minorEastAsia" w:hAnsiTheme="minorEastAsia" w:eastAsiaTheme="minorEastAsia" w:cstheme="minorEastAsia"/>
                <w:szCs w:val="21"/>
              </w:rPr>
            </w:pPr>
          </w:p>
        </w:tc>
      </w:tr>
      <w:tr w14:paraId="4DE4D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17D9EAAC">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4085C1D">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2FC2ABCA">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A45236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96BD0A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83167C6">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A66D220">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2597DC22">
            <w:pPr>
              <w:spacing w:line="280" w:lineRule="exact"/>
              <w:jc w:val="center"/>
              <w:rPr>
                <w:rFonts w:hint="eastAsia" w:asciiTheme="minorEastAsia" w:hAnsiTheme="minorEastAsia" w:eastAsiaTheme="minorEastAsia" w:cstheme="minorEastAsia"/>
                <w:szCs w:val="21"/>
              </w:rPr>
            </w:pPr>
          </w:p>
        </w:tc>
      </w:tr>
      <w:tr w14:paraId="1ABA7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5FBCB484">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5660C9C">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16FEA2A7">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1B29C50">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7C237303">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7004501">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0642E93">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7E5B96F0">
            <w:pPr>
              <w:spacing w:line="280" w:lineRule="exact"/>
              <w:jc w:val="center"/>
              <w:rPr>
                <w:rFonts w:hint="eastAsia" w:asciiTheme="minorEastAsia" w:hAnsiTheme="minorEastAsia" w:eastAsiaTheme="minorEastAsia" w:cstheme="minorEastAsia"/>
                <w:szCs w:val="21"/>
              </w:rPr>
            </w:pPr>
          </w:p>
        </w:tc>
      </w:tr>
      <w:tr w14:paraId="49ACF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7E8F6B23">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5F0E1EBD">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3BBE30C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A61D5E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658AF33">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3462A04">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5C6CA45">
            <w:pPr>
              <w:spacing w:line="28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164AABC9">
            <w:pPr>
              <w:spacing w:line="280" w:lineRule="exact"/>
              <w:jc w:val="center"/>
              <w:rPr>
                <w:rFonts w:hint="eastAsia" w:asciiTheme="minorEastAsia" w:hAnsiTheme="minorEastAsia" w:eastAsiaTheme="minorEastAsia" w:cstheme="minorEastAsia"/>
                <w:szCs w:val="21"/>
              </w:rPr>
            </w:pPr>
          </w:p>
        </w:tc>
      </w:tr>
      <w:tr w14:paraId="4044E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0B4080BC">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4975D73">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7DE8E49B">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6A971AB9">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1E9145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5BDD4A7">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E93C0FD">
            <w:pPr>
              <w:spacing w:line="28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055F9E34">
            <w:pPr>
              <w:spacing w:line="280" w:lineRule="exact"/>
              <w:jc w:val="center"/>
              <w:rPr>
                <w:rFonts w:hint="eastAsia" w:asciiTheme="minorEastAsia" w:hAnsiTheme="minorEastAsia" w:eastAsiaTheme="minorEastAsia" w:cstheme="minorEastAsia"/>
                <w:szCs w:val="21"/>
              </w:rPr>
            </w:pPr>
          </w:p>
        </w:tc>
      </w:tr>
      <w:tr w14:paraId="64527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2D6FC208">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CE3CD89">
            <w:pPr>
              <w:spacing w:line="280" w:lineRule="exact"/>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国家安全教育</w:t>
            </w:r>
          </w:p>
        </w:tc>
        <w:tc>
          <w:tcPr>
            <w:tcW w:w="680" w:type="dxa"/>
            <w:shd w:val="clear" w:color="000000" w:fill="FFFFFF"/>
            <w:vAlign w:val="center"/>
          </w:tcPr>
          <w:p w14:paraId="3BF8BB49">
            <w:pPr>
              <w:spacing w:line="28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6A2DE551">
            <w:pPr>
              <w:spacing w:line="28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6A458820">
            <w:pPr>
              <w:spacing w:line="28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A</w:t>
            </w:r>
          </w:p>
        </w:tc>
        <w:tc>
          <w:tcPr>
            <w:tcW w:w="686" w:type="dxa"/>
            <w:vAlign w:val="center"/>
          </w:tcPr>
          <w:p w14:paraId="2630BC83">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E5C14EB">
            <w:pPr>
              <w:spacing w:line="28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w:t>
            </w:r>
          </w:p>
        </w:tc>
        <w:tc>
          <w:tcPr>
            <w:tcW w:w="1536" w:type="dxa"/>
            <w:vMerge w:val="restart"/>
            <w:vAlign w:val="center"/>
          </w:tcPr>
          <w:p w14:paraId="7CA30EDA">
            <w:pPr>
              <w:spacing w:line="28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25DAF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7B9FC1DB">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37365EE">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6D1A17B3">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D0C2FBB">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778FDC97">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50E8DE1">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A65E8D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32A2AD31">
            <w:pPr>
              <w:spacing w:line="280" w:lineRule="exact"/>
              <w:jc w:val="center"/>
              <w:rPr>
                <w:rFonts w:hint="eastAsia" w:asciiTheme="minorEastAsia" w:hAnsiTheme="minorEastAsia" w:eastAsiaTheme="minorEastAsia" w:cstheme="minorEastAsia"/>
                <w:szCs w:val="21"/>
              </w:rPr>
            </w:pPr>
          </w:p>
        </w:tc>
      </w:tr>
      <w:tr w14:paraId="107A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5CDE2226">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50D0F261">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7AEF66A0">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D40FDD6">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112</w:t>
            </w:r>
          </w:p>
        </w:tc>
        <w:tc>
          <w:tcPr>
            <w:tcW w:w="671" w:type="dxa"/>
            <w:shd w:val="clear" w:color="000000" w:fill="FFFFFF"/>
            <w:vAlign w:val="center"/>
          </w:tcPr>
          <w:p w14:paraId="5156E25E">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0D371202">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4BA92BF">
            <w:pPr>
              <w:tabs>
                <w:tab w:val="left" w:pos="540"/>
              </w:tabs>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549C6FD2">
            <w:pPr>
              <w:spacing w:line="280" w:lineRule="exact"/>
              <w:jc w:val="center"/>
              <w:rPr>
                <w:rFonts w:hint="eastAsia" w:asciiTheme="minorEastAsia" w:hAnsiTheme="minorEastAsia" w:eastAsiaTheme="minorEastAsia" w:cstheme="minorEastAsia"/>
                <w:szCs w:val="21"/>
              </w:rPr>
            </w:pPr>
          </w:p>
        </w:tc>
      </w:tr>
      <w:tr w14:paraId="0B9C0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restart"/>
            <w:vAlign w:val="center"/>
          </w:tcPr>
          <w:p w14:paraId="276BBBD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598E301D">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素养课</w:t>
            </w:r>
          </w:p>
        </w:tc>
        <w:tc>
          <w:tcPr>
            <w:tcW w:w="2693" w:type="dxa"/>
            <w:shd w:val="clear" w:color="000000" w:fill="FFFFFF"/>
            <w:vAlign w:val="center"/>
          </w:tcPr>
          <w:p w14:paraId="5F5012DB">
            <w:pPr>
              <w:spacing w:line="28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人工智能导论</w:t>
            </w:r>
          </w:p>
        </w:tc>
        <w:tc>
          <w:tcPr>
            <w:tcW w:w="680" w:type="dxa"/>
            <w:shd w:val="clear" w:color="000000" w:fill="FFFFFF"/>
            <w:vAlign w:val="center"/>
          </w:tcPr>
          <w:p w14:paraId="6B3B6730">
            <w:pPr>
              <w:spacing w:line="280" w:lineRule="exact"/>
              <w:jc w:val="center"/>
              <w:rPr>
                <w:rFonts w:hint="eastAsia" w:asciiTheme="minorEastAsia" w:hAnsiTheme="minorEastAsia" w:eastAsiaTheme="minorEastAsia" w:cstheme="minorEastAsia"/>
                <w:bCs/>
                <w:szCs w:val="21"/>
                <w:lang w:val="en-US" w:eastAsia="zh-CN"/>
              </w:rPr>
            </w:pPr>
            <w:r>
              <w:rPr>
                <w:rFonts w:hint="eastAsia" w:asciiTheme="minorEastAsia" w:hAnsiTheme="minorEastAsia" w:eastAsiaTheme="minorEastAsia" w:cstheme="minorEastAsia"/>
                <w:bCs/>
                <w:szCs w:val="21"/>
                <w:lang w:val="en-US" w:eastAsia="zh-CN"/>
              </w:rPr>
              <w:t>1</w:t>
            </w:r>
          </w:p>
        </w:tc>
        <w:tc>
          <w:tcPr>
            <w:tcW w:w="886" w:type="dxa"/>
            <w:shd w:val="clear" w:color="000000" w:fill="FFFFFF"/>
            <w:vAlign w:val="center"/>
          </w:tcPr>
          <w:p w14:paraId="1091B25E">
            <w:pPr>
              <w:spacing w:line="280" w:lineRule="exact"/>
              <w:jc w:val="center"/>
              <w:rPr>
                <w:rFonts w:hint="default" w:asciiTheme="minorEastAsia" w:hAnsiTheme="minorEastAsia" w:eastAsiaTheme="minorEastAsia" w:cstheme="minorEastAsia"/>
                <w:bCs/>
                <w:szCs w:val="21"/>
                <w:lang w:val="en-US" w:eastAsia="zh-CN"/>
              </w:rPr>
            </w:pPr>
            <w:r>
              <w:rPr>
                <w:rFonts w:hint="eastAsia" w:asciiTheme="minorEastAsia" w:hAnsiTheme="minorEastAsia" w:eastAsiaTheme="minorEastAsia" w:cstheme="minorEastAsia"/>
                <w:bCs/>
                <w:szCs w:val="21"/>
                <w:lang w:val="en-US" w:eastAsia="zh-CN"/>
              </w:rPr>
              <w:t>16</w:t>
            </w:r>
          </w:p>
        </w:tc>
        <w:tc>
          <w:tcPr>
            <w:tcW w:w="671" w:type="dxa"/>
            <w:shd w:val="clear" w:color="000000" w:fill="FFFFFF"/>
            <w:vAlign w:val="center"/>
          </w:tcPr>
          <w:p w14:paraId="4A2DC7D6">
            <w:pPr>
              <w:spacing w:line="28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B</w:t>
            </w:r>
          </w:p>
        </w:tc>
        <w:tc>
          <w:tcPr>
            <w:tcW w:w="686" w:type="dxa"/>
            <w:vAlign w:val="center"/>
          </w:tcPr>
          <w:p w14:paraId="3E9CE66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4CCC2D5">
            <w:pPr>
              <w:tabs>
                <w:tab w:val="left" w:pos="540"/>
              </w:tabs>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7B2A26E">
            <w:pPr>
              <w:spacing w:line="28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44CC5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4E59F737">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C6DE27A">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4E9658E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8DE90FA">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0D6CC3F4">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20A6284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16508D0">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C0FCA30">
            <w:pPr>
              <w:spacing w:line="280" w:lineRule="exact"/>
              <w:jc w:val="center"/>
              <w:rPr>
                <w:rFonts w:hint="eastAsia" w:asciiTheme="minorEastAsia" w:hAnsiTheme="minorEastAsia" w:eastAsiaTheme="minorEastAsia" w:cstheme="minorEastAsia"/>
                <w:szCs w:val="21"/>
              </w:rPr>
            </w:pPr>
          </w:p>
        </w:tc>
      </w:tr>
      <w:tr w14:paraId="3ED23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6E2D9521">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5BF174F">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6EEE298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41BB4B13">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93BF2A4">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BD8562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56D97B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86326BE">
            <w:pPr>
              <w:spacing w:line="28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7C03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21516CC8">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BC705A7">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2D30BF1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421EE27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35E3C42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DE8F7D6">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D78CD9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E75106C">
            <w:pPr>
              <w:spacing w:line="280" w:lineRule="exact"/>
              <w:jc w:val="center"/>
              <w:rPr>
                <w:rFonts w:hint="eastAsia" w:asciiTheme="minorEastAsia" w:hAnsiTheme="minorEastAsia" w:eastAsiaTheme="minorEastAsia" w:cstheme="minorEastAsia"/>
                <w:szCs w:val="21"/>
              </w:rPr>
            </w:pPr>
          </w:p>
        </w:tc>
      </w:tr>
      <w:tr w14:paraId="2660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3ACDFE06">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0B96FAA2">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3A19D325">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0BC6186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9A3A2E1">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5AC5BB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604679DA">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0ABD9743">
            <w:pPr>
              <w:spacing w:line="280" w:lineRule="exact"/>
              <w:jc w:val="center"/>
              <w:rPr>
                <w:rFonts w:hint="eastAsia" w:asciiTheme="minorEastAsia" w:hAnsiTheme="minorEastAsia" w:eastAsiaTheme="minorEastAsia" w:cstheme="minorEastAsia"/>
                <w:szCs w:val="21"/>
              </w:rPr>
            </w:pPr>
          </w:p>
        </w:tc>
      </w:tr>
      <w:tr w14:paraId="35B9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restart"/>
            <w:vAlign w:val="center"/>
          </w:tcPr>
          <w:p w14:paraId="60AE544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1AE4D4DB">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素养课</w:t>
            </w:r>
          </w:p>
        </w:tc>
        <w:tc>
          <w:tcPr>
            <w:tcW w:w="2693" w:type="dxa"/>
            <w:shd w:val="clear" w:color="000000" w:fill="FFFFFF"/>
            <w:vAlign w:val="center"/>
          </w:tcPr>
          <w:p w14:paraId="57C6A8F4">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7B4C78D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FC4FF5D">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385673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C</w:t>
            </w:r>
          </w:p>
        </w:tc>
        <w:tc>
          <w:tcPr>
            <w:tcW w:w="686" w:type="dxa"/>
            <w:vAlign w:val="center"/>
          </w:tcPr>
          <w:p w14:paraId="2FD6111C">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25B2E5F">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F0ECC20">
            <w:pPr>
              <w:spacing w:line="28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39F57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33A433DE">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D6698C0">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23FED41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21A739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BD1DC9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C</w:t>
            </w:r>
          </w:p>
        </w:tc>
        <w:tc>
          <w:tcPr>
            <w:tcW w:w="686" w:type="dxa"/>
            <w:vAlign w:val="center"/>
          </w:tcPr>
          <w:p w14:paraId="4D07B005">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AF89EA3">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6EEA9F7D">
            <w:pPr>
              <w:spacing w:line="280" w:lineRule="exact"/>
              <w:jc w:val="center"/>
              <w:rPr>
                <w:rFonts w:hint="eastAsia" w:asciiTheme="minorEastAsia" w:hAnsiTheme="minorEastAsia" w:eastAsiaTheme="minorEastAsia" w:cstheme="minorEastAsia"/>
                <w:szCs w:val="21"/>
              </w:rPr>
            </w:pPr>
          </w:p>
        </w:tc>
      </w:tr>
      <w:tr w14:paraId="40878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1982E4BC">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D8DB80B">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50DA5D3B">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437751A">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E944A07">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C</w:t>
            </w:r>
          </w:p>
        </w:tc>
        <w:tc>
          <w:tcPr>
            <w:tcW w:w="686" w:type="dxa"/>
            <w:vAlign w:val="center"/>
          </w:tcPr>
          <w:p w14:paraId="59E8B161">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EE9B0FA">
            <w:pPr>
              <w:spacing w:line="28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76373F62">
            <w:pPr>
              <w:spacing w:line="280" w:lineRule="exact"/>
              <w:jc w:val="center"/>
              <w:rPr>
                <w:rFonts w:hint="eastAsia" w:asciiTheme="minorEastAsia" w:hAnsiTheme="minorEastAsia" w:eastAsiaTheme="minorEastAsia" w:cstheme="minorEastAsia"/>
                <w:color w:val="FF0000"/>
                <w:szCs w:val="21"/>
              </w:rPr>
            </w:pPr>
          </w:p>
        </w:tc>
      </w:tr>
      <w:tr w14:paraId="0681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2A5D0E80">
            <w:pPr>
              <w:spacing w:line="28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F021353">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1DAC344A">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25ECC41">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9CEBD7E">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4B48698F">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406642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743DC1ED">
            <w:pPr>
              <w:spacing w:line="280" w:lineRule="exact"/>
              <w:jc w:val="center"/>
              <w:rPr>
                <w:rFonts w:hint="eastAsia" w:asciiTheme="minorEastAsia" w:hAnsiTheme="minorEastAsia" w:eastAsiaTheme="minorEastAsia"/>
                <w:szCs w:val="21"/>
              </w:rPr>
            </w:pPr>
            <w:r>
              <w:rPr>
                <w:rFonts w:hint="eastAsia" w:asciiTheme="minorEastAsia" w:hAnsiTheme="minorEastAsia" w:eastAsiaTheme="minorEastAsia"/>
                <w:szCs w:val="21"/>
              </w:rPr>
              <w:t>马克思主义</w:t>
            </w:r>
          </w:p>
          <w:p w14:paraId="0045880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0A7C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Align w:val="center"/>
          </w:tcPr>
          <w:p w14:paraId="235D65EC">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511BD7ED">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素养课</w:t>
            </w:r>
          </w:p>
        </w:tc>
        <w:tc>
          <w:tcPr>
            <w:tcW w:w="2693" w:type="dxa"/>
            <w:shd w:val="clear" w:color="000000" w:fill="FFFFFF"/>
            <w:vAlign w:val="center"/>
          </w:tcPr>
          <w:p w14:paraId="343773CE">
            <w:pPr>
              <w:spacing w:line="28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4E6279C1">
            <w:pPr>
              <w:spacing w:line="28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32E5CBBD">
            <w:pPr>
              <w:spacing w:line="28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34C5D758">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4E321F6">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89AAFC9">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21568E8F">
            <w:pPr>
              <w:spacing w:line="280" w:lineRule="exact"/>
              <w:jc w:val="center"/>
              <w:rPr>
                <w:rFonts w:hint="eastAsia"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00982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Align w:val="center"/>
          </w:tcPr>
          <w:p w14:paraId="68FC6FFC">
            <w:pPr>
              <w:spacing w:line="28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劳动素养课</w:t>
            </w:r>
          </w:p>
        </w:tc>
        <w:tc>
          <w:tcPr>
            <w:tcW w:w="2693" w:type="dxa"/>
            <w:shd w:val="clear" w:color="000000" w:fill="FFFFFF"/>
            <w:vAlign w:val="center"/>
          </w:tcPr>
          <w:p w14:paraId="3761018C">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w:t>
            </w:r>
          </w:p>
        </w:tc>
        <w:tc>
          <w:tcPr>
            <w:tcW w:w="680" w:type="dxa"/>
            <w:shd w:val="clear" w:color="000000" w:fill="FFFFFF"/>
            <w:vAlign w:val="center"/>
          </w:tcPr>
          <w:p w14:paraId="1F851A06">
            <w:pPr>
              <w:spacing w:line="28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50441A91">
            <w:pPr>
              <w:spacing w:line="28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5FBC03F7">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AF10C06">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C670E3C">
            <w:pPr>
              <w:spacing w:line="28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Align w:val="center"/>
          </w:tcPr>
          <w:p w14:paraId="5929A8A0">
            <w:pPr>
              <w:spacing w:line="280" w:lineRule="exact"/>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马克思主义</w:t>
            </w:r>
          </w:p>
          <w:p w14:paraId="3899D549">
            <w:pPr>
              <w:spacing w:line="28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szCs w:val="21"/>
                <w:lang w:val="en-US" w:eastAsia="zh-CN"/>
              </w:rPr>
              <w:t>学院</w:t>
            </w:r>
          </w:p>
        </w:tc>
      </w:tr>
      <w:tr w14:paraId="3DEFE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restart"/>
            <w:vAlign w:val="center"/>
          </w:tcPr>
          <w:p w14:paraId="1FEDF209">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066AFCBE">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素养课</w:t>
            </w:r>
          </w:p>
        </w:tc>
        <w:tc>
          <w:tcPr>
            <w:tcW w:w="2693" w:type="dxa"/>
            <w:shd w:val="clear" w:color="000000" w:fill="FFFFFF"/>
            <w:vAlign w:val="center"/>
          </w:tcPr>
          <w:p w14:paraId="516EC4B6">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217D6318">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24F558D">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1891E727">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305D9058">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0775D42">
            <w:pPr>
              <w:spacing w:line="28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E4165EC">
            <w:pPr>
              <w:spacing w:line="28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招生就业处</w:t>
            </w:r>
          </w:p>
        </w:tc>
      </w:tr>
      <w:tr w14:paraId="691EF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37FF1DF9">
            <w:pPr>
              <w:spacing w:line="280" w:lineRule="exact"/>
              <w:rPr>
                <w:rFonts w:hint="eastAsia" w:asciiTheme="minorEastAsia" w:hAnsiTheme="minorEastAsia" w:eastAsiaTheme="minorEastAsia" w:cstheme="minorEastAsia"/>
                <w:szCs w:val="21"/>
              </w:rPr>
            </w:pPr>
          </w:p>
        </w:tc>
        <w:tc>
          <w:tcPr>
            <w:tcW w:w="2693" w:type="dxa"/>
            <w:shd w:val="clear" w:color="000000" w:fill="FFFFFF"/>
            <w:vAlign w:val="center"/>
          </w:tcPr>
          <w:p w14:paraId="512D9CAB">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5DE02356">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AB88490">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3C27EDA">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27893276">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561945C">
            <w:pPr>
              <w:spacing w:line="28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1B856FCE">
            <w:pPr>
              <w:spacing w:line="280" w:lineRule="exact"/>
              <w:rPr>
                <w:rFonts w:hint="eastAsia" w:asciiTheme="minorEastAsia" w:hAnsiTheme="minorEastAsia" w:eastAsiaTheme="minorEastAsia" w:cstheme="minorEastAsia"/>
                <w:szCs w:val="21"/>
              </w:rPr>
            </w:pPr>
          </w:p>
        </w:tc>
      </w:tr>
      <w:tr w14:paraId="7104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991" w:type="dxa"/>
            <w:vMerge w:val="continue"/>
            <w:vAlign w:val="center"/>
          </w:tcPr>
          <w:p w14:paraId="64273F03">
            <w:pPr>
              <w:spacing w:line="280" w:lineRule="exact"/>
              <w:rPr>
                <w:rFonts w:hint="eastAsia" w:asciiTheme="minorEastAsia" w:hAnsiTheme="minorEastAsia" w:eastAsiaTheme="minorEastAsia" w:cstheme="minorEastAsia"/>
                <w:szCs w:val="21"/>
              </w:rPr>
            </w:pPr>
          </w:p>
        </w:tc>
        <w:tc>
          <w:tcPr>
            <w:tcW w:w="2693" w:type="dxa"/>
            <w:shd w:val="clear" w:color="000000" w:fill="FFFFFF"/>
            <w:vAlign w:val="center"/>
          </w:tcPr>
          <w:p w14:paraId="50A94F06">
            <w:pPr>
              <w:spacing w:line="2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0A497977">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3FC58D5E">
            <w:pPr>
              <w:spacing w:line="28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18CD1F66">
            <w:pPr>
              <w:spacing w:line="2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03A5424">
            <w:pPr>
              <w:spacing w:line="2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8BA9284">
            <w:pPr>
              <w:spacing w:line="28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18939697">
            <w:pPr>
              <w:spacing w:line="280" w:lineRule="exact"/>
              <w:rPr>
                <w:rFonts w:hint="eastAsia" w:asciiTheme="minorEastAsia" w:hAnsiTheme="minorEastAsia" w:eastAsiaTheme="minorEastAsia" w:cstheme="minorEastAsia"/>
                <w:szCs w:val="21"/>
              </w:rPr>
            </w:pPr>
          </w:p>
        </w:tc>
      </w:tr>
    </w:tbl>
    <w:p w14:paraId="49D16592">
      <w:pPr>
        <w:jc w:val="center"/>
        <w:rPr>
          <w:rFonts w:hint="eastAsia" w:asciiTheme="minorEastAsia" w:hAnsiTheme="minorEastAsia" w:eastAsiaTheme="minorEastAsia"/>
          <w:b/>
          <w:szCs w:val="21"/>
        </w:rPr>
      </w:pPr>
    </w:p>
    <w:p w14:paraId="263A8555">
      <w:pPr>
        <w:spacing w:before="156" w:beforeLines="50"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2E19E6BF">
      <w:pPr>
        <w:spacing w:line="360" w:lineRule="auto"/>
        <w:ind w:firstLine="480" w:firstLineChars="200"/>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32B5F133">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技能）课程以工作过程为导向，按照“岗课赛证”综合育人的专业课程开发理念，融入课程思政，培养学生职业能力和职业精神。专业（技能）课程包括专业群课程平台、专业核心能力课程模块、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08F2F3C5">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本专业总学</w:t>
      </w:r>
      <w:r>
        <w:rPr>
          <w:rFonts w:ascii="宋体" w:hAnsi="宋体" w:cs="Angsana New"/>
          <w:sz w:val="24"/>
          <w:szCs w:val="24"/>
          <w:lang w:bidi="th-TH"/>
        </w:rPr>
        <w:t>时</w:t>
      </w:r>
      <w:r>
        <w:rPr>
          <w:rFonts w:hint="eastAsia" w:ascii="宋体" w:hAnsi="宋体" w:cs="Angsana New"/>
          <w:sz w:val="24"/>
          <w:szCs w:val="24"/>
          <w:lang w:bidi="th-TH"/>
        </w:rPr>
        <w:t>26</w:t>
      </w:r>
      <w:r>
        <w:rPr>
          <w:rFonts w:hint="eastAsia" w:ascii="宋体" w:hAnsi="宋体" w:cs="Angsana New"/>
          <w:sz w:val="24"/>
          <w:szCs w:val="24"/>
          <w:lang w:val="en-US" w:eastAsia="zh-CN" w:bidi="th-TH"/>
        </w:rPr>
        <w:t>70</w:t>
      </w:r>
      <w:r>
        <w:rPr>
          <w:rFonts w:ascii="宋体" w:hAnsi="宋体" w:cs="Angsana New"/>
          <w:sz w:val="24"/>
          <w:szCs w:val="24"/>
          <w:lang w:bidi="th-TH"/>
        </w:rPr>
        <w:t>学时</w:t>
      </w:r>
      <w:r>
        <w:rPr>
          <w:rFonts w:cs="Angsana New" w:asciiTheme="minorHAnsi" w:hAnsiTheme="minorHAnsi"/>
          <w:lang w:bidi="th-TH"/>
        </w:rPr>
        <w:t>，</w:t>
      </w:r>
      <w:r>
        <w:rPr>
          <w:rFonts w:hint="eastAsia" w:cs="Angsana New" w:asciiTheme="minorEastAsia" w:hAnsiTheme="minorEastAsia" w:eastAsiaTheme="minorEastAsia"/>
          <w:sz w:val="24"/>
          <w:szCs w:val="24"/>
          <w:lang w:bidi="th-TH"/>
        </w:rPr>
        <w:t>每16学时折算1学分，</w:t>
      </w:r>
      <w:r>
        <w:rPr>
          <w:rFonts w:hint="eastAsia" w:ascii="宋体" w:hAnsi="宋体" w:cs="Angsana New"/>
          <w:sz w:val="24"/>
          <w:szCs w:val="24"/>
          <w:lang w:bidi="th-TH"/>
        </w:rPr>
        <w:t>学年周数40周，共开设专业群平台课程</w:t>
      </w:r>
      <w:r>
        <w:rPr>
          <w:rFonts w:ascii="宋体" w:hAnsi="宋体" w:cs="Angsana New"/>
          <w:sz w:val="24"/>
          <w:szCs w:val="24"/>
          <w:lang w:bidi="th-TH"/>
        </w:rPr>
        <w:t>8门</w:t>
      </w:r>
      <w:r>
        <w:rPr>
          <w:rFonts w:hint="eastAsia" w:ascii="宋体" w:hAnsi="宋体" w:cs="Angsana New"/>
          <w:sz w:val="24"/>
          <w:szCs w:val="24"/>
          <w:lang w:bidi="th-TH"/>
        </w:rPr>
        <w:t>，专业群平台课程384学时；专业核心课程</w:t>
      </w:r>
      <w:r>
        <w:rPr>
          <w:rFonts w:ascii="宋体" w:hAnsi="宋体" w:cs="Angsana New"/>
          <w:sz w:val="24"/>
          <w:szCs w:val="24"/>
          <w:lang w:bidi="th-TH"/>
        </w:rPr>
        <w:t>8门，</w:t>
      </w:r>
      <w:r>
        <w:rPr>
          <w:rFonts w:hint="eastAsia" w:ascii="宋体" w:hAnsi="宋体" w:cs="Angsana New"/>
          <w:sz w:val="24"/>
          <w:szCs w:val="24"/>
          <w:lang w:bidi="th-TH"/>
        </w:rPr>
        <w:t>专业核心课程</w:t>
      </w:r>
      <w:r>
        <w:rPr>
          <w:rFonts w:hint="eastAsia" w:ascii="宋体" w:hAnsi="宋体" w:cs="Angsana New"/>
          <w:sz w:val="24"/>
          <w:szCs w:val="24"/>
          <w:lang w:val="en-US" w:eastAsia="zh-CN" w:bidi="th-TH"/>
        </w:rPr>
        <w:t>480</w:t>
      </w:r>
      <w:r>
        <w:rPr>
          <w:rFonts w:hint="eastAsia" w:ascii="宋体" w:hAnsi="宋体" w:cs="Angsana New"/>
          <w:sz w:val="24"/>
          <w:szCs w:val="24"/>
          <w:lang w:bidi="th-TH"/>
        </w:rPr>
        <w:t>学时；专业实践性教学70</w:t>
      </w:r>
      <w:r>
        <w:rPr>
          <w:rFonts w:hint="eastAsia" w:ascii="宋体" w:hAnsi="宋体" w:cs="Angsana New"/>
          <w:sz w:val="24"/>
          <w:szCs w:val="24"/>
          <w:lang w:val="en-US" w:eastAsia="zh-CN" w:bidi="th-TH"/>
        </w:rPr>
        <w:t>2</w:t>
      </w:r>
      <w:r>
        <w:rPr>
          <w:rFonts w:hint="eastAsia" w:ascii="宋体" w:hAnsi="宋体" w:cs="Angsana New"/>
          <w:sz w:val="24"/>
          <w:szCs w:val="24"/>
          <w:lang w:bidi="th-TH"/>
        </w:rPr>
        <w:t>学时、岗位实习6月，岗位实习开展学期</w:t>
      </w:r>
      <w:r>
        <w:rPr>
          <w:rFonts w:hint="eastAsia" w:ascii="宋体" w:hAnsi="宋体" w:cs="Angsana New"/>
          <w:sz w:val="24"/>
          <w:szCs w:val="24"/>
          <w:lang w:val="en-US" w:eastAsia="zh-CN" w:bidi="th-TH"/>
        </w:rPr>
        <w:t>5</w:t>
      </w:r>
      <w:r>
        <w:rPr>
          <w:rFonts w:hint="eastAsia" w:ascii="宋体" w:hAnsi="宋体" w:cs="Angsana New"/>
          <w:sz w:val="24"/>
          <w:szCs w:val="24"/>
          <w:lang w:bidi="th-TH"/>
        </w:rPr>
        <w:t>、</w:t>
      </w:r>
      <w:r>
        <w:rPr>
          <w:rFonts w:hint="eastAsia" w:ascii="宋体" w:hAnsi="宋体" w:cs="Angsana New"/>
          <w:sz w:val="24"/>
          <w:szCs w:val="24"/>
          <w:lang w:val="en-US" w:eastAsia="zh-CN" w:bidi="th-TH"/>
        </w:rPr>
        <w:t>6</w:t>
      </w:r>
      <w:r>
        <w:rPr>
          <w:rFonts w:hint="eastAsia" w:ascii="宋体" w:hAnsi="宋体" w:cs="Angsana New"/>
          <w:sz w:val="24"/>
          <w:szCs w:val="24"/>
          <w:lang w:bidi="th-TH"/>
        </w:rPr>
        <w:t>学期，岗位实习特殊要求为4（注：1安排学生从事高空、井下、放射性、有毒、易燃易爆，以及其他具有较高安全风险的实习；2安排学生在休息日、法定节假日实习；3安排学生加班和上夜班；4岗位实习半年以上），军训2周。</w:t>
      </w:r>
    </w:p>
    <w:p w14:paraId="6B7E6F8E">
      <w:pPr>
        <w:spacing w:line="360" w:lineRule="auto"/>
        <w:ind w:firstLine="480" w:firstLineChars="200"/>
        <w:rPr>
          <w:rFonts w:hint="eastAsia" w:ascii="宋体" w:hAnsi="宋体" w:cs="Angsana New"/>
          <w:sz w:val="24"/>
          <w:szCs w:val="24"/>
          <w:lang w:bidi="th-TH"/>
        </w:rPr>
      </w:pPr>
    </w:p>
    <w:p w14:paraId="6C8A941E">
      <w:pPr>
        <w:spacing w:line="360" w:lineRule="auto"/>
        <w:ind w:firstLine="480" w:firstLineChars="200"/>
        <w:rPr>
          <w:rFonts w:hint="eastAsia" w:ascii="宋体" w:hAnsi="宋体" w:cs="Angsana New"/>
          <w:sz w:val="24"/>
          <w:szCs w:val="24"/>
          <w:lang w:bidi="th-TH"/>
        </w:rPr>
      </w:pPr>
    </w:p>
    <w:p w14:paraId="1B6134B8">
      <w:pPr>
        <w:spacing w:line="360" w:lineRule="auto"/>
        <w:ind w:firstLine="480" w:firstLineChars="200"/>
        <w:rPr>
          <w:rFonts w:hint="eastAsia" w:ascii="宋体" w:hAnsi="宋体" w:cs="Angsana New"/>
          <w:sz w:val="24"/>
          <w:szCs w:val="24"/>
          <w:lang w:bidi="th-TH"/>
        </w:rPr>
      </w:pPr>
    </w:p>
    <w:p w14:paraId="7B302705">
      <w:pPr>
        <w:spacing w:line="360" w:lineRule="auto"/>
        <w:ind w:firstLine="480" w:firstLineChars="200"/>
        <w:rPr>
          <w:rFonts w:hint="eastAsia" w:ascii="宋体" w:hAnsi="宋体" w:cs="Angsana New"/>
          <w:sz w:val="24"/>
          <w:szCs w:val="24"/>
          <w:lang w:bidi="th-TH"/>
        </w:rPr>
      </w:pPr>
    </w:p>
    <w:p w14:paraId="0155E328">
      <w:pPr>
        <w:spacing w:line="360" w:lineRule="auto"/>
        <w:ind w:firstLine="480" w:firstLineChars="200"/>
        <w:rPr>
          <w:rFonts w:hint="eastAsia" w:ascii="宋体" w:hAnsi="宋体" w:cs="Angsana New"/>
          <w:sz w:val="24"/>
          <w:szCs w:val="24"/>
          <w:lang w:bidi="th-TH"/>
        </w:rPr>
      </w:pPr>
    </w:p>
    <w:p w14:paraId="56F81E37">
      <w:pPr>
        <w:spacing w:line="360" w:lineRule="auto"/>
        <w:ind w:firstLine="480" w:firstLineChars="200"/>
        <w:rPr>
          <w:rFonts w:hint="eastAsia" w:ascii="宋体" w:hAnsi="宋体" w:cs="Angsana New"/>
          <w:sz w:val="24"/>
          <w:szCs w:val="24"/>
          <w:lang w:bidi="th-TH"/>
        </w:rPr>
      </w:pPr>
      <w:r>
        <w:rPr>
          <w:rFonts w:ascii="宋体" w:hAnsi="宋体" w:cs="Angsana New"/>
          <w:sz w:val="24"/>
          <w:szCs w:val="24"/>
          <w:lang w:bidi="th-TH"/>
        </w:rPr>
        <w:br w:type="page"/>
      </w:r>
    </w:p>
    <w:p w14:paraId="07AC1607">
      <w:pPr>
        <w:spacing w:line="360" w:lineRule="auto"/>
        <w:ind w:firstLine="480" w:firstLineChars="200"/>
        <w:rPr>
          <w:rFonts w:hint="eastAsia" w:ascii="宋体" w:hAnsi="宋体" w:cs="Angsana New"/>
          <w:sz w:val="24"/>
          <w:szCs w:val="24"/>
          <w:lang w:bidi="th-TH"/>
        </w:rPr>
        <w:sectPr>
          <w:pgSz w:w="11906" w:h="16838"/>
          <w:pgMar w:top="1417" w:right="1701" w:bottom="1417" w:left="1701" w:header="851" w:footer="992" w:gutter="0"/>
          <w:cols w:space="0" w:num="1"/>
          <w:docGrid w:type="lines" w:linePitch="312" w:charSpace="0"/>
        </w:sectPr>
      </w:pPr>
    </w:p>
    <w:p w14:paraId="6FD5B4A6">
      <w:pPr>
        <w:adjustRightInd w:val="0"/>
        <w:snapToGrid w:val="0"/>
        <w:jc w:val="center"/>
        <w:rPr>
          <w:rFonts w:ascii="宋体" w:hAnsi="宋体"/>
          <w:b/>
          <w:bCs/>
          <w:kern w:val="0"/>
          <w:szCs w:val="21"/>
        </w:rPr>
      </w:pPr>
      <w:r>
        <w:rPr>
          <w:rFonts w:hint="eastAsia" w:ascii="宋体" w:hAnsi="宋体"/>
          <w:b/>
          <w:bCs/>
          <w:kern w:val="0"/>
          <w:szCs w:val="21"/>
        </w:rPr>
        <w:t>表</w:t>
      </w:r>
      <w:r>
        <w:rPr>
          <w:rFonts w:ascii="宋体" w:hAnsi="宋体"/>
          <w:b/>
          <w:bCs/>
          <w:kern w:val="0"/>
          <w:szCs w:val="21"/>
        </w:rPr>
        <w:t>4</w:t>
      </w:r>
      <w:r>
        <w:rPr>
          <w:rFonts w:hint="eastAsia" w:ascii="宋体" w:hAnsi="宋体"/>
          <w:b/>
          <w:bCs/>
          <w:kern w:val="0"/>
          <w:szCs w:val="21"/>
        </w:rPr>
        <w:t xml:space="preserve">  专业（技能）课程设置表</w:t>
      </w:r>
    </w:p>
    <w:tbl>
      <w:tblPr>
        <w:tblStyle w:val="14"/>
        <w:tblW w:w="20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13"/>
        <w:gridCol w:w="761"/>
        <w:gridCol w:w="454"/>
        <w:gridCol w:w="454"/>
        <w:gridCol w:w="454"/>
        <w:gridCol w:w="454"/>
        <w:gridCol w:w="454"/>
        <w:gridCol w:w="454"/>
        <w:gridCol w:w="454"/>
        <w:gridCol w:w="454"/>
        <w:gridCol w:w="680"/>
        <w:gridCol w:w="9046"/>
        <w:gridCol w:w="6555"/>
      </w:tblGrid>
      <w:tr w14:paraId="3FD0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0" w:type="auto"/>
            <w:vMerge w:val="restart"/>
            <w:vAlign w:val="center"/>
          </w:tcPr>
          <w:p w14:paraId="748047A7">
            <w:pPr>
              <w:pStyle w:val="24"/>
              <w:spacing w:line="240" w:lineRule="auto"/>
              <w:ind w:left="0" w:firstLine="0" w:firstLineChars="0"/>
              <w:jc w:val="center"/>
              <w:rPr>
                <w:rFonts w:hint="eastAsia" w:asciiTheme="minorEastAsia" w:hAnsiTheme="minorEastAsia" w:eastAsiaTheme="minorEastAsia" w:cstheme="minorEastAsia"/>
                <w:b/>
                <w:sz w:val="18"/>
                <w:szCs w:val="18"/>
              </w:rPr>
            </w:pPr>
            <w:bookmarkStart w:id="0" w:name="_Hlk201255531"/>
            <w:r>
              <w:rPr>
                <w:rFonts w:hint="eastAsia" w:asciiTheme="minorEastAsia" w:hAnsiTheme="minorEastAsia" w:eastAsiaTheme="minorEastAsia" w:cstheme="minorEastAsia"/>
                <w:b/>
                <w:sz w:val="18"/>
                <w:szCs w:val="18"/>
              </w:rPr>
              <w:t>类别</w:t>
            </w:r>
          </w:p>
        </w:tc>
        <w:tc>
          <w:tcPr>
            <w:tcW w:w="0" w:type="auto"/>
            <w:vMerge w:val="restart"/>
            <w:shd w:val="clear" w:color="auto" w:fill="auto"/>
            <w:vAlign w:val="center"/>
          </w:tcPr>
          <w:p w14:paraId="7849BB8A">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454" w:type="dxa"/>
            <w:vMerge w:val="restart"/>
            <w:vAlign w:val="center"/>
          </w:tcPr>
          <w:p w14:paraId="3FAC904C">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5A28947E">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454" w:type="dxa"/>
            <w:vMerge w:val="restart"/>
            <w:shd w:val="clear" w:color="auto" w:fill="auto"/>
            <w:vAlign w:val="center"/>
          </w:tcPr>
          <w:p w14:paraId="61D57A4A">
            <w:pPr>
              <w:pStyle w:val="24"/>
              <w:spacing w:line="240" w:lineRule="auto"/>
              <w:ind w:left="0" w:firstLine="0" w:firstLineChars="0"/>
              <w:jc w:val="center"/>
              <w:rPr>
                <w:rFonts w:hint="eastAsia"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454" w:type="dxa"/>
            <w:vMerge w:val="restart"/>
            <w:shd w:val="clear" w:color="auto" w:fill="auto"/>
            <w:vAlign w:val="center"/>
          </w:tcPr>
          <w:p w14:paraId="55C164E3">
            <w:pPr>
              <w:pStyle w:val="24"/>
              <w:spacing w:line="240" w:lineRule="auto"/>
              <w:ind w:left="0" w:firstLine="0" w:firstLineChars="0"/>
              <w:jc w:val="center"/>
              <w:rPr>
                <w:rFonts w:hint="eastAsia"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454" w:type="dxa"/>
            <w:vMerge w:val="restart"/>
            <w:shd w:val="clear" w:color="auto" w:fill="auto"/>
            <w:vAlign w:val="center"/>
          </w:tcPr>
          <w:p w14:paraId="774849E7">
            <w:pPr>
              <w:pStyle w:val="24"/>
              <w:spacing w:line="240" w:lineRule="auto"/>
              <w:ind w:left="0" w:firstLine="0" w:firstLineChars="0"/>
              <w:jc w:val="center"/>
              <w:rPr>
                <w:rFonts w:hint="eastAsia"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454" w:type="dxa"/>
            <w:vMerge w:val="restart"/>
            <w:shd w:val="clear" w:color="auto" w:fill="auto"/>
            <w:vAlign w:val="center"/>
          </w:tcPr>
          <w:p w14:paraId="2B482346">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097DEDC1">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454" w:type="dxa"/>
            <w:vMerge w:val="restart"/>
            <w:shd w:val="clear" w:color="auto" w:fill="auto"/>
            <w:vAlign w:val="center"/>
          </w:tcPr>
          <w:p w14:paraId="3F16B6DE">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65722D80">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454" w:type="dxa"/>
            <w:vMerge w:val="restart"/>
            <w:shd w:val="clear" w:color="auto" w:fill="auto"/>
            <w:vAlign w:val="center"/>
          </w:tcPr>
          <w:p w14:paraId="684872F2">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3E6E99E3">
            <w:pPr>
              <w:pStyle w:val="24"/>
              <w:spacing w:line="240" w:lineRule="auto"/>
              <w:ind w:left="0" w:firstLine="0" w:firstLineChars="0"/>
              <w:jc w:val="center"/>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454" w:type="dxa"/>
            <w:vMerge w:val="restart"/>
            <w:shd w:val="clear" w:color="auto" w:fill="auto"/>
            <w:vAlign w:val="center"/>
          </w:tcPr>
          <w:p w14:paraId="3412697D">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4165B9F3">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680" w:type="dxa"/>
            <w:shd w:val="clear" w:color="auto" w:fill="auto"/>
            <w:vAlign w:val="center"/>
          </w:tcPr>
          <w:p w14:paraId="126E18A4">
            <w:pPr>
              <w:pStyle w:val="24"/>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w:t>
            </w:r>
          </w:p>
          <w:p w14:paraId="769B7B70">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主体</w:t>
            </w:r>
          </w:p>
        </w:tc>
        <w:tc>
          <w:tcPr>
            <w:tcW w:w="9046" w:type="dxa"/>
            <w:vMerge w:val="restart"/>
            <w:shd w:val="clear" w:color="auto" w:fill="auto"/>
            <w:vAlign w:val="center"/>
          </w:tcPr>
          <w:p w14:paraId="45DB6190">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6555" w:type="dxa"/>
            <w:vMerge w:val="restart"/>
            <w:vAlign w:val="center"/>
          </w:tcPr>
          <w:p w14:paraId="0C3A9E1E">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主要教学内容</w:t>
            </w:r>
          </w:p>
        </w:tc>
      </w:tr>
      <w:bookmarkEnd w:id="0"/>
      <w:tr w14:paraId="61282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0" w:type="auto"/>
            <w:vMerge w:val="continue"/>
            <w:vAlign w:val="center"/>
          </w:tcPr>
          <w:p w14:paraId="417DC085">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0" w:type="auto"/>
            <w:vMerge w:val="continue"/>
            <w:shd w:val="clear" w:color="auto" w:fill="auto"/>
            <w:vAlign w:val="center"/>
          </w:tcPr>
          <w:p w14:paraId="104F8815">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vAlign w:val="center"/>
          </w:tcPr>
          <w:p w14:paraId="56245855">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4B5D9264">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5FC5D42D">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4369B7FC">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49C41F21">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03EB1400">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6C6B03C3">
            <w:pPr>
              <w:pStyle w:val="24"/>
              <w:spacing w:line="240" w:lineRule="auto"/>
              <w:ind w:left="0" w:firstLine="0" w:firstLineChars="0"/>
              <w:jc w:val="center"/>
              <w:rPr>
                <w:rFonts w:hint="eastAsia" w:asciiTheme="minorEastAsia" w:hAnsiTheme="minorEastAsia" w:eastAsiaTheme="minorEastAsia" w:cstheme="minorEastAsia"/>
                <w:b/>
                <w:sz w:val="18"/>
                <w:szCs w:val="18"/>
              </w:rPr>
            </w:pPr>
          </w:p>
        </w:tc>
        <w:tc>
          <w:tcPr>
            <w:tcW w:w="454" w:type="dxa"/>
            <w:vMerge w:val="continue"/>
            <w:shd w:val="clear" w:color="auto" w:fill="auto"/>
            <w:vAlign w:val="center"/>
          </w:tcPr>
          <w:p w14:paraId="607C3FC8">
            <w:pPr>
              <w:pStyle w:val="24"/>
              <w:spacing w:line="240" w:lineRule="auto"/>
              <w:ind w:left="0" w:firstLine="0" w:firstLineChars="0"/>
              <w:jc w:val="center"/>
              <w:rPr>
                <w:rFonts w:hint="eastAsia" w:asciiTheme="minorEastAsia" w:hAnsiTheme="minorEastAsia" w:eastAsiaTheme="minorEastAsia" w:cstheme="minorEastAsia"/>
                <w:b/>
                <w:bCs/>
                <w:sz w:val="18"/>
                <w:szCs w:val="18"/>
              </w:rPr>
            </w:pPr>
          </w:p>
        </w:tc>
        <w:tc>
          <w:tcPr>
            <w:tcW w:w="680" w:type="dxa"/>
            <w:shd w:val="clear" w:color="auto" w:fill="auto"/>
            <w:vAlign w:val="center"/>
          </w:tcPr>
          <w:p w14:paraId="28E20709">
            <w:pPr>
              <w:pStyle w:val="24"/>
              <w:spacing w:line="240" w:lineRule="auto"/>
              <w:ind w:left="0" w:firstLine="0" w:firstLineChars="0"/>
              <w:jc w:val="center"/>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w:t>
            </w:r>
          </w:p>
          <w:p w14:paraId="19A7C3E2">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学校</w:t>
            </w:r>
          </w:p>
        </w:tc>
        <w:tc>
          <w:tcPr>
            <w:tcW w:w="9046" w:type="dxa"/>
            <w:vMerge w:val="continue"/>
            <w:shd w:val="clear" w:color="auto" w:fill="auto"/>
            <w:vAlign w:val="center"/>
          </w:tcPr>
          <w:p w14:paraId="541281FA">
            <w:pPr>
              <w:pStyle w:val="24"/>
              <w:spacing w:line="240" w:lineRule="auto"/>
              <w:ind w:left="0" w:firstLine="0" w:firstLineChars="0"/>
              <w:rPr>
                <w:rFonts w:hint="eastAsia" w:asciiTheme="minorEastAsia" w:hAnsiTheme="minorEastAsia" w:eastAsiaTheme="minorEastAsia" w:cstheme="minorEastAsia"/>
                <w:b/>
                <w:bCs/>
                <w:sz w:val="18"/>
                <w:szCs w:val="18"/>
              </w:rPr>
            </w:pPr>
          </w:p>
        </w:tc>
        <w:tc>
          <w:tcPr>
            <w:tcW w:w="6555" w:type="dxa"/>
            <w:vMerge w:val="continue"/>
            <w:vAlign w:val="center"/>
          </w:tcPr>
          <w:p w14:paraId="65113B98">
            <w:pPr>
              <w:pStyle w:val="24"/>
              <w:spacing w:line="240" w:lineRule="auto"/>
              <w:ind w:left="0" w:firstLine="0" w:firstLineChars="0"/>
              <w:rPr>
                <w:rFonts w:hint="eastAsia" w:asciiTheme="minorEastAsia" w:hAnsiTheme="minorEastAsia" w:eastAsiaTheme="minorEastAsia" w:cstheme="minorEastAsia"/>
                <w:b/>
                <w:bCs/>
                <w:sz w:val="18"/>
                <w:szCs w:val="18"/>
              </w:rPr>
            </w:pPr>
          </w:p>
        </w:tc>
      </w:tr>
      <w:tr w14:paraId="7A74C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restart"/>
            <w:vAlign w:val="center"/>
          </w:tcPr>
          <w:p w14:paraId="5C471B3A">
            <w:pPr>
              <w:pStyle w:val="24"/>
              <w:spacing w:line="240" w:lineRule="auto"/>
              <w:ind w:left="0" w:firstLine="0" w:firstLineChars="0"/>
              <w:jc w:val="center"/>
              <w:rPr>
                <w:rFonts w:hint="eastAsia"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w:t>
            </w:r>
          </w:p>
          <w:p w14:paraId="2EEC6D9E">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平台</w:t>
            </w:r>
            <w:r>
              <w:rPr>
                <w:rFonts w:hint="eastAsia" w:asciiTheme="minorEastAsia" w:hAnsiTheme="minorEastAsia" w:eastAsiaTheme="minorEastAsia" w:cstheme="minorEastAsia"/>
                <w:sz w:val="18"/>
                <w:szCs w:val="18"/>
                <w:lang w:val="en-US" w:bidi="th-TH"/>
              </w:rPr>
              <w:t>课程</w:t>
            </w:r>
          </w:p>
        </w:tc>
        <w:tc>
          <w:tcPr>
            <w:tcW w:w="0" w:type="auto"/>
            <w:shd w:val="clear" w:color="auto" w:fill="auto"/>
            <w:vAlign w:val="center"/>
          </w:tcPr>
          <w:p w14:paraId="3F360F4E">
            <w:pPr>
              <w:ind w:firstLine="180" w:firstLineChars="100"/>
              <w:jc w:val="center"/>
              <w:rPr>
                <w:rFonts w:hint="eastAsia" w:ascii="宋体" w:hAnsi="宋体" w:eastAsia="宋体" w:cs="宋体"/>
                <w:sz w:val="18"/>
                <w:szCs w:val="18"/>
                <w:lang w:eastAsia="zh-CN"/>
              </w:rPr>
            </w:pPr>
            <w:r>
              <w:rPr>
                <w:rFonts w:hint="eastAsia" w:ascii="宋体" w:hAnsi="宋体" w:cs="宋体"/>
                <w:sz w:val="18"/>
                <w:szCs w:val="18"/>
              </w:rPr>
              <w:t>经济学</w:t>
            </w:r>
            <w:r>
              <w:rPr>
                <w:rFonts w:hint="eastAsia" w:ascii="宋体" w:hAnsi="宋体" w:cs="宋体"/>
                <w:sz w:val="18"/>
                <w:szCs w:val="18"/>
                <w:lang w:val="en-US" w:eastAsia="zh-CN"/>
              </w:rPr>
              <w:t>原理</w:t>
            </w:r>
          </w:p>
        </w:tc>
        <w:tc>
          <w:tcPr>
            <w:tcW w:w="454" w:type="dxa"/>
            <w:vAlign w:val="center"/>
          </w:tcPr>
          <w:p w14:paraId="17F5F310">
            <w:pPr>
              <w:pStyle w:val="24"/>
              <w:spacing w:line="240" w:lineRule="auto"/>
              <w:ind w:left="0" w:firstLine="0" w:firstLineChars="0"/>
              <w:jc w:val="center"/>
              <w:rPr>
                <w:rFonts w:hint="eastAsia"/>
                <w:w w:val="99"/>
                <w:sz w:val="18"/>
                <w:szCs w:val="18"/>
                <w:lang w:val="en-US"/>
              </w:rPr>
            </w:pPr>
            <w:r>
              <w:rPr>
                <w:rFonts w:hint="eastAsia"/>
                <w:w w:val="99"/>
                <w:sz w:val="18"/>
                <w:szCs w:val="18"/>
                <w:lang w:val="en-US"/>
              </w:rPr>
              <w:t>必修</w:t>
            </w:r>
          </w:p>
        </w:tc>
        <w:tc>
          <w:tcPr>
            <w:tcW w:w="454" w:type="dxa"/>
            <w:shd w:val="clear" w:color="auto" w:fill="auto"/>
            <w:vAlign w:val="center"/>
          </w:tcPr>
          <w:p w14:paraId="517A6A7A">
            <w:pPr>
              <w:pStyle w:val="24"/>
              <w:spacing w:line="240" w:lineRule="auto"/>
              <w:ind w:left="0" w:firstLine="0" w:firstLineChars="0"/>
              <w:jc w:val="center"/>
              <w:rPr>
                <w:rFonts w:hint="eastAsia"/>
                <w:w w:val="99"/>
                <w:sz w:val="18"/>
                <w:szCs w:val="18"/>
                <w:lang w:val="en-US"/>
              </w:rPr>
            </w:pPr>
            <w:r>
              <w:rPr>
                <w:rFonts w:hint="eastAsia"/>
                <w:w w:val="99"/>
                <w:sz w:val="18"/>
                <w:szCs w:val="18"/>
                <w:lang w:val="en-US"/>
              </w:rPr>
              <w:t>A</w:t>
            </w:r>
          </w:p>
        </w:tc>
        <w:tc>
          <w:tcPr>
            <w:tcW w:w="454" w:type="dxa"/>
            <w:shd w:val="clear" w:color="auto" w:fill="auto"/>
            <w:vAlign w:val="center"/>
          </w:tcPr>
          <w:p w14:paraId="6053B6F7">
            <w:pPr>
              <w:pStyle w:val="24"/>
              <w:spacing w:line="240" w:lineRule="auto"/>
              <w:ind w:left="0" w:firstLine="0" w:firstLineChars="0"/>
              <w:jc w:val="center"/>
              <w:rPr>
                <w:rFonts w:hint="eastAsia"/>
                <w:w w:val="99"/>
                <w:sz w:val="18"/>
                <w:szCs w:val="18"/>
                <w:lang w:val="en-US"/>
              </w:rPr>
            </w:pPr>
            <w:r>
              <w:rPr>
                <w:rFonts w:hint="eastAsia"/>
                <w:w w:val="99"/>
                <w:sz w:val="18"/>
                <w:szCs w:val="18"/>
                <w:lang w:val="en-US"/>
              </w:rPr>
              <w:t>2</w:t>
            </w:r>
          </w:p>
        </w:tc>
        <w:tc>
          <w:tcPr>
            <w:tcW w:w="454" w:type="dxa"/>
            <w:shd w:val="clear" w:color="auto" w:fill="auto"/>
            <w:vAlign w:val="center"/>
          </w:tcPr>
          <w:p w14:paraId="069F0A1C">
            <w:pPr>
              <w:pStyle w:val="24"/>
              <w:spacing w:line="240" w:lineRule="auto"/>
              <w:ind w:left="0" w:firstLine="0" w:firstLineChars="0"/>
              <w:jc w:val="center"/>
              <w:rPr>
                <w:rFonts w:hint="eastAsia"/>
                <w:w w:val="99"/>
                <w:sz w:val="18"/>
                <w:szCs w:val="18"/>
                <w:lang w:val="en-US"/>
              </w:rPr>
            </w:pPr>
            <w:r>
              <w:rPr>
                <w:rFonts w:hint="eastAsia"/>
                <w:w w:val="99"/>
                <w:sz w:val="18"/>
                <w:szCs w:val="18"/>
                <w:lang w:val="en-US"/>
              </w:rPr>
              <w:t>32</w:t>
            </w:r>
          </w:p>
        </w:tc>
        <w:tc>
          <w:tcPr>
            <w:tcW w:w="454" w:type="dxa"/>
            <w:shd w:val="clear" w:color="auto" w:fill="auto"/>
            <w:vAlign w:val="center"/>
          </w:tcPr>
          <w:p w14:paraId="1E5388A0">
            <w:pPr>
              <w:widowControl/>
              <w:jc w:val="center"/>
              <w:textAlignment w:val="center"/>
              <w:rPr>
                <w:rFonts w:hint="default" w:ascii="宋体" w:hAnsi="宋体" w:eastAsia="宋体" w:cs="宋体"/>
                <w:w w:val="99"/>
                <w:sz w:val="18"/>
                <w:szCs w:val="18"/>
                <w:lang w:val="en-US" w:eastAsia="zh-CN"/>
              </w:rPr>
            </w:pPr>
            <w:r>
              <w:rPr>
                <w:rFonts w:hint="eastAsia" w:ascii="宋体" w:hAnsi="宋体" w:cs="宋体"/>
                <w:color w:val="000000"/>
                <w:kern w:val="0"/>
                <w:sz w:val="18"/>
                <w:szCs w:val="18"/>
                <w:lang w:val="en-US" w:eastAsia="zh-CN"/>
              </w:rPr>
              <w:t>32</w:t>
            </w:r>
          </w:p>
        </w:tc>
        <w:tc>
          <w:tcPr>
            <w:tcW w:w="454" w:type="dxa"/>
            <w:shd w:val="clear" w:color="auto" w:fill="auto"/>
            <w:vAlign w:val="center"/>
          </w:tcPr>
          <w:p w14:paraId="05AD1B4D">
            <w:pPr>
              <w:widowControl/>
              <w:jc w:val="center"/>
              <w:textAlignment w:val="center"/>
              <w:rPr>
                <w:rFonts w:hint="eastAsia" w:ascii="宋体" w:hAnsi="宋体" w:eastAsia="宋体" w:cs="宋体"/>
                <w:w w:val="99"/>
                <w:sz w:val="18"/>
                <w:szCs w:val="18"/>
                <w:lang w:eastAsia="zh-CN"/>
              </w:rPr>
            </w:pPr>
            <w:r>
              <w:rPr>
                <w:rFonts w:hint="eastAsia" w:ascii="宋体" w:hAnsi="宋体" w:cs="宋体"/>
                <w:color w:val="000000"/>
                <w:kern w:val="0"/>
                <w:sz w:val="18"/>
                <w:szCs w:val="18"/>
                <w:lang w:val="en-US" w:eastAsia="zh-CN"/>
              </w:rPr>
              <w:t>0</w:t>
            </w:r>
          </w:p>
        </w:tc>
        <w:tc>
          <w:tcPr>
            <w:tcW w:w="454" w:type="dxa"/>
            <w:shd w:val="clear" w:color="auto" w:fill="auto"/>
            <w:vAlign w:val="center"/>
          </w:tcPr>
          <w:p w14:paraId="5CFCFCC9">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454" w:type="dxa"/>
            <w:shd w:val="clear" w:color="auto" w:fill="auto"/>
            <w:vAlign w:val="center"/>
          </w:tcPr>
          <w:p w14:paraId="707AA47A">
            <w:pPr>
              <w:pStyle w:val="24"/>
              <w:spacing w:line="240" w:lineRule="auto"/>
              <w:ind w:left="0" w:firstLine="0" w:firstLineChars="0"/>
              <w:jc w:val="center"/>
              <w:rPr>
                <w:rFonts w:hint="eastAsia"/>
                <w:w w:val="99"/>
                <w:sz w:val="18"/>
                <w:szCs w:val="18"/>
                <w:lang w:eastAsia="en-US"/>
              </w:rPr>
            </w:pPr>
            <w:r>
              <w:rPr>
                <w:w w:val="99"/>
                <w:sz w:val="18"/>
                <w:szCs w:val="18"/>
                <w:lang w:eastAsia="en-US"/>
              </w:rPr>
              <w:t>1</w:t>
            </w:r>
          </w:p>
        </w:tc>
        <w:tc>
          <w:tcPr>
            <w:tcW w:w="680" w:type="dxa"/>
            <w:shd w:val="clear" w:color="auto" w:fill="auto"/>
            <w:vAlign w:val="center"/>
          </w:tcPr>
          <w:p w14:paraId="2C04C705">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9046" w:type="dxa"/>
            <w:shd w:val="clear" w:color="auto" w:fill="auto"/>
            <w:vAlign w:val="center"/>
          </w:tcPr>
          <w:p w14:paraId="017DE978">
            <w:pPr>
              <w:spacing w:line="240" w:lineRule="exact"/>
              <w:rPr>
                <w:rFonts w:hint="eastAsia" w:asciiTheme="minorEastAsia" w:hAnsiTheme="minorEastAsia" w:eastAsiaTheme="minorEastAsia" w:cstheme="minorEastAsia"/>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1</w:t>
            </w:r>
            <w:r>
              <w:rPr>
                <w:rFonts w:hint="eastAsia" w:ascii="宋体" w:hAnsi="宋体" w:cs="宋体"/>
                <w:b/>
                <w:bCs/>
                <w:sz w:val="18"/>
                <w:szCs w:val="18"/>
              </w:rPr>
              <w:t>）知识</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了解经济学的基本概念、基本原理和基本分析方法，熟悉政府对经济的影响和政府实施的宏观调控政策，掌握微观经济学、宏观经济学的基本内容。</w:t>
            </w:r>
            <w:r>
              <w:rPr>
                <w:rFonts w:hint="eastAsia" w:ascii="宋体" w:hAnsi="宋体" w:cs="宋体"/>
                <w:b/>
                <w:bCs/>
                <w:sz w:val="18"/>
                <w:szCs w:val="18"/>
              </w:rPr>
              <w:t>（</w:t>
            </w:r>
            <w:r>
              <w:rPr>
                <w:rFonts w:hint="eastAsia" w:ascii="宋体" w:hAnsi="宋体" w:cs="宋体"/>
                <w:b/>
                <w:bCs/>
                <w:sz w:val="18"/>
                <w:szCs w:val="18"/>
                <w:lang w:val="en-US" w:eastAsia="zh-CN"/>
              </w:rPr>
              <w:t>2</w:t>
            </w:r>
            <w:r>
              <w:rPr>
                <w:rFonts w:hint="eastAsia" w:ascii="宋体" w:hAnsi="宋体" w:cs="宋体"/>
                <w:b/>
                <w:bCs/>
                <w:sz w:val="18"/>
                <w:szCs w:val="18"/>
              </w:rPr>
              <w:t>）能力</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运用供需分析法对简单的经济现象进行分析；运用成本与收益理论对企业的长短期成本进行分析；运用市场理论对四种市场结构类型中的厂商均衡进行分析。</w:t>
            </w:r>
            <w:r>
              <w:rPr>
                <w:rFonts w:hint="eastAsia" w:ascii="宋体" w:hAnsi="宋体" w:cs="宋体"/>
                <w:b/>
                <w:bCs/>
                <w:sz w:val="18"/>
                <w:szCs w:val="18"/>
              </w:rPr>
              <w:t>（</w:t>
            </w:r>
            <w:r>
              <w:rPr>
                <w:rFonts w:hint="eastAsia" w:ascii="宋体" w:hAnsi="宋体" w:cs="宋体"/>
                <w:b/>
                <w:bCs/>
                <w:sz w:val="18"/>
                <w:szCs w:val="18"/>
                <w:lang w:val="en-US" w:eastAsia="zh-CN"/>
              </w:rPr>
              <w:t>3</w:t>
            </w:r>
            <w:r>
              <w:rPr>
                <w:rFonts w:hint="eastAsia" w:ascii="宋体" w:hAnsi="宋体" w:cs="宋体"/>
                <w:b/>
                <w:bCs/>
                <w:sz w:val="18"/>
                <w:szCs w:val="18"/>
              </w:rPr>
              <w:t>）素质</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培养对身边经济现象和经济政策的敏锐感，树立正确的世界观和价值观，增强对新形势下中国经济面临的问题和挑战的深刻认识，增强民族自信心和自豪感。</w:t>
            </w:r>
          </w:p>
        </w:tc>
        <w:tc>
          <w:tcPr>
            <w:tcW w:w="6555" w:type="dxa"/>
            <w:vAlign w:val="center"/>
          </w:tcPr>
          <w:p w14:paraId="56725006">
            <w:pPr>
              <w:spacing w:line="240" w:lineRule="exact"/>
              <w:rPr>
                <w:rFonts w:hint="eastAsia" w:asciiTheme="minorEastAsia" w:hAnsiTheme="minorEastAsia" w:cstheme="minorEastAsia"/>
                <w:sz w:val="18"/>
                <w:szCs w:val="18"/>
              </w:rPr>
            </w:pPr>
            <w:r>
              <w:rPr>
                <w:rFonts w:hint="eastAsia" w:ascii="宋体" w:hAnsi="宋体" w:cs="宋体"/>
                <w:sz w:val="18"/>
                <w:szCs w:val="18"/>
              </w:rPr>
              <w:t>（1）经济学概论：经济学的概念、经济学研究对象、研究内容及研究方法。（2）微观经济学基本理论：供求理论、均衡理论、消费者行为理论、生产和成本理论、市场理论、收入分配理论、市场失灵。（3）宏观经济学基本理论：国民收入决定理论、失业与通货膨胀理论、经济增长与经济周期理论。（4）业财融合下的经济学基础综合案例分析</w:t>
            </w:r>
            <w:r>
              <w:rPr>
                <w:rFonts w:hint="eastAsia" w:cs="宋体"/>
                <w:sz w:val="18"/>
                <w:szCs w:val="18"/>
              </w:rPr>
              <w:t>。</w:t>
            </w:r>
          </w:p>
        </w:tc>
      </w:tr>
      <w:tr w14:paraId="0EC1B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6E3D8E5F">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4A8BD137">
            <w:pPr>
              <w:widowControl/>
              <w:spacing w:line="240" w:lineRule="atLeast"/>
              <w:jc w:val="center"/>
              <w:rPr>
                <w:sz w:val="18"/>
                <w:szCs w:val="18"/>
              </w:rPr>
            </w:pPr>
            <w:r>
              <w:rPr>
                <w:rFonts w:hint="eastAsia"/>
                <w:sz w:val="18"/>
                <w:szCs w:val="18"/>
              </w:rPr>
              <w:t>企业管理基础</w:t>
            </w:r>
          </w:p>
        </w:tc>
        <w:tc>
          <w:tcPr>
            <w:tcW w:w="454" w:type="dxa"/>
            <w:vAlign w:val="center"/>
          </w:tcPr>
          <w:p w14:paraId="70E60AD0">
            <w:pPr>
              <w:pStyle w:val="24"/>
              <w:spacing w:line="240" w:lineRule="auto"/>
              <w:ind w:left="0" w:firstLine="0" w:firstLineChars="0"/>
              <w:jc w:val="center"/>
              <w:rPr>
                <w:rFonts w:hint="eastAsia"/>
                <w:w w:val="99"/>
                <w:sz w:val="18"/>
                <w:szCs w:val="18"/>
              </w:rPr>
            </w:pPr>
            <w:r>
              <w:rPr>
                <w:rFonts w:hint="eastAsia"/>
                <w:w w:val="99"/>
                <w:sz w:val="18"/>
                <w:szCs w:val="18"/>
                <w:lang w:val="en-US"/>
              </w:rPr>
              <w:t>必修</w:t>
            </w:r>
          </w:p>
        </w:tc>
        <w:tc>
          <w:tcPr>
            <w:tcW w:w="454" w:type="dxa"/>
            <w:shd w:val="clear" w:color="auto" w:fill="auto"/>
            <w:vAlign w:val="center"/>
          </w:tcPr>
          <w:p w14:paraId="4439B39D">
            <w:pPr>
              <w:pStyle w:val="24"/>
              <w:spacing w:line="240" w:lineRule="auto"/>
              <w:ind w:left="0" w:firstLine="0" w:firstLineChars="0"/>
              <w:jc w:val="center"/>
              <w:rPr>
                <w:rFonts w:hint="eastAsia"/>
                <w:w w:val="99"/>
                <w:sz w:val="18"/>
                <w:szCs w:val="18"/>
              </w:rPr>
            </w:pPr>
            <w:r>
              <w:rPr>
                <w:rFonts w:hint="eastAsia"/>
                <w:w w:val="99"/>
                <w:sz w:val="18"/>
                <w:szCs w:val="18"/>
                <w:lang w:val="en-US"/>
              </w:rPr>
              <w:t>A</w:t>
            </w:r>
          </w:p>
        </w:tc>
        <w:tc>
          <w:tcPr>
            <w:tcW w:w="454" w:type="dxa"/>
            <w:shd w:val="clear" w:color="auto" w:fill="auto"/>
            <w:vAlign w:val="center"/>
          </w:tcPr>
          <w:p w14:paraId="74AC7728">
            <w:pPr>
              <w:pStyle w:val="24"/>
              <w:spacing w:line="240" w:lineRule="auto"/>
              <w:ind w:left="0" w:firstLine="0" w:firstLineChars="0"/>
              <w:jc w:val="center"/>
              <w:rPr>
                <w:rFonts w:hint="eastAsia"/>
                <w:color w:val="000000"/>
                <w:kern w:val="0"/>
                <w:sz w:val="18"/>
                <w:szCs w:val="18"/>
              </w:rPr>
            </w:pPr>
            <w:r>
              <w:rPr>
                <w:rFonts w:hint="eastAsia"/>
                <w:w w:val="99"/>
                <w:sz w:val="18"/>
                <w:szCs w:val="18"/>
                <w:lang w:val="en-US"/>
              </w:rPr>
              <w:t>2</w:t>
            </w:r>
          </w:p>
        </w:tc>
        <w:tc>
          <w:tcPr>
            <w:tcW w:w="454" w:type="dxa"/>
            <w:shd w:val="clear" w:color="auto" w:fill="auto"/>
            <w:vAlign w:val="center"/>
          </w:tcPr>
          <w:p w14:paraId="176433AB">
            <w:pPr>
              <w:pStyle w:val="24"/>
              <w:spacing w:line="240" w:lineRule="auto"/>
              <w:ind w:left="0" w:firstLine="0" w:firstLineChars="0"/>
              <w:jc w:val="center"/>
              <w:rPr>
                <w:rFonts w:hint="eastAsia"/>
                <w:color w:val="000000"/>
                <w:kern w:val="0"/>
                <w:sz w:val="18"/>
                <w:szCs w:val="18"/>
              </w:rPr>
            </w:pPr>
            <w:r>
              <w:rPr>
                <w:rFonts w:hint="eastAsia"/>
                <w:w w:val="99"/>
                <w:sz w:val="18"/>
                <w:szCs w:val="18"/>
                <w:lang w:val="en-US"/>
              </w:rPr>
              <w:t>32</w:t>
            </w:r>
          </w:p>
        </w:tc>
        <w:tc>
          <w:tcPr>
            <w:tcW w:w="454" w:type="dxa"/>
            <w:shd w:val="clear" w:color="auto" w:fill="auto"/>
            <w:vAlign w:val="center"/>
          </w:tcPr>
          <w:p w14:paraId="7A1EDD97">
            <w:pPr>
              <w:widowControl/>
              <w:jc w:val="center"/>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24</w:t>
            </w:r>
          </w:p>
        </w:tc>
        <w:tc>
          <w:tcPr>
            <w:tcW w:w="454" w:type="dxa"/>
            <w:shd w:val="clear" w:color="auto" w:fill="auto"/>
            <w:vAlign w:val="center"/>
          </w:tcPr>
          <w:p w14:paraId="0D27EC16">
            <w:pPr>
              <w:widowControl/>
              <w:jc w:val="center"/>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rPr>
              <w:t>8</w:t>
            </w:r>
          </w:p>
        </w:tc>
        <w:tc>
          <w:tcPr>
            <w:tcW w:w="454" w:type="dxa"/>
            <w:shd w:val="clear" w:color="auto" w:fill="auto"/>
            <w:vAlign w:val="center"/>
          </w:tcPr>
          <w:p w14:paraId="4F98AFC7">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考试</w:t>
            </w:r>
          </w:p>
        </w:tc>
        <w:tc>
          <w:tcPr>
            <w:tcW w:w="454" w:type="dxa"/>
            <w:shd w:val="clear" w:color="auto" w:fill="auto"/>
            <w:vAlign w:val="center"/>
          </w:tcPr>
          <w:p w14:paraId="2F9C5071">
            <w:pPr>
              <w:pStyle w:val="24"/>
              <w:spacing w:line="240" w:lineRule="auto"/>
              <w:ind w:left="0" w:firstLine="0" w:firstLineChars="0"/>
              <w:jc w:val="center"/>
              <w:rPr>
                <w:rFonts w:hint="eastAsia"/>
                <w:w w:val="99"/>
                <w:sz w:val="18"/>
                <w:szCs w:val="18"/>
              </w:rPr>
            </w:pPr>
            <w:r>
              <w:rPr>
                <w:w w:val="99"/>
                <w:sz w:val="18"/>
                <w:szCs w:val="18"/>
                <w:lang w:eastAsia="en-US"/>
              </w:rPr>
              <w:t>1</w:t>
            </w:r>
          </w:p>
        </w:tc>
        <w:tc>
          <w:tcPr>
            <w:tcW w:w="680" w:type="dxa"/>
            <w:shd w:val="clear" w:color="auto" w:fill="auto"/>
            <w:vAlign w:val="center"/>
          </w:tcPr>
          <w:p w14:paraId="1AC6CF27">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9046" w:type="dxa"/>
            <w:shd w:val="clear" w:color="auto" w:fill="auto"/>
            <w:vAlign w:val="center"/>
          </w:tcPr>
          <w:p w14:paraId="5805C550">
            <w:pPr>
              <w:spacing w:line="240" w:lineRule="exact"/>
              <w:rPr>
                <w:rFonts w:hint="eastAsia" w:ascii="宋体" w:hAnsi="宋体" w:cs="宋体"/>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1</w:t>
            </w:r>
            <w:r>
              <w:rPr>
                <w:rFonts w:hint="eastAsia" w:ascii="宋体" w:hAnsi="宋体" w:cs="宋体"/>
                <w:b/>
                <w:bCs/>
                <w:sz w:val="18"/>
                <w:szCs w:val="18"/>
              </w:rPr>
              <w:t>）知识</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了解企业生产流程，掌握管理的概念和基本原理；熟练掌握和运用计划和决策职能，能够运用pest、波特五力分析法等方法研究现象和决策；掌握组织职能结构设置；使用领导职能同员工及时沟通及激励；了解和掌握控制的过程与方法。</w:t>
            </w:r>
            <w:r>
              <w:rPr>
                <w:rFonts w:hint="eastAsia" w:ascii="宋体" w:hAnsi="宋体" w:cs="宋体"/>
                <w:b/>
                <w:bCs/>
                <w:sz w:val="18"/>
                <w:szCs w:val="18"/>
              </w:rPr>
              <w:t>（</w:t>
            </w:r>
            <w:r>
              <w:rPr>
                <w:rFonts w:hint="eastAsia" w:ascii="宋体" w:hAnsi="宋体" w:cs="宋体"/>
                <w:b/>
                <w:bCs/>
                <w:sz w:val="18"/>
                <w:szCs w:val="18"/>
                <w:lang w:val="en-US" w:eastAsia="zh-CN"/>
              </w:rPr>
              <w:t>2</w:t>
            </w:r>
            <w:r>
              <w:rPr>
                <w:rFonts w:hint="eastAsia" w:ascii="宋体" w:hAnsi="宋体" w:cs="宋体"/>
                <w:b/>
                <w:bCs/>
                <w:sz w:val="18"/>
                <w:szCs w:val="18"/>
              </w:rPr>
              <w:t>）能力</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运用管理知识进行管理案例分析，对管理实践进行考察，解决实践中遇到的管理学问题。</w:t>
            </w:r>
            <w:r>
              <w:rPr>
                <w:rFonts w:hint="eastAsia" w:ascii="宋体" w:hAnsi="宋体" w:cs="宋体"/>
                <w:b/>
                <w:bCs/>
                <w:sz w:val="18"/>
                <w:szCs w:val="18"/>
              </w:rPr>
              <w:t>（</w:t>
            </w:r>
            <w:r>
              <w:rPr>
                <w:rFonts w:hint="eastAsia" w:ascii="宋体" w:hAnsi="宋体" w:cs="宋体"/>
                <w:b/>
                <w:bCs/>
                <w:sz w:val="18"/>
                <w:szCs w:val="18"/>
                <w:lang w:val="en-US" w:eastAsia="zh-CN"/>
              </w:rPr>
              <w:t>3</w:t>
            </w:r>
            <w:r>
              <w:rPr>
                <w:rFonts w:hint="eastAsia" w:ascii="宋体" w:hAnsi="宋体" w:cs="宋体"/>
                <w:b/>
                <w:bCs/>
                <w:sz w:val="18"/>
                <w:szCs w:val="18"/>
              </w:rPr>
              <w:t>）素质</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培养具备良好的职业道德观念，具备基层管理素质，提升学生发现问题、分析问题和解决问题的能力。</w:t>
            </w:r>
          </w:p>
          <w:p w14:paraId="706F661A">
            <w:pPr>
              <w:widowControl/>
              <w:spacing w:line="240" w:lineRule="atLeast"/>
              <w:rPr>
                <w:sz w:val="16"/>
                <w:szCs w:val="16"/>
              </w:rPr>
            </w:pPr>
          </w:p>
        </w:tc>
        <w:tc>
          <w:tcPr>
            <w:tcW w:w="6555" w:type="dxa"/>
            <w:vAlign w:val="center"/>
          </w:tcPr>
          <w:p w14:paraId="7CACDDB1">
            <w:pPr>
              <w:spacing w:line="240" w:lineRule="exact"/>
              <w:rPr>
                <w:rFonts w:hint="eastAsia" w:ascii="宋体" w:hAnsi="宋体" w:cs="宋体"/>
                <w:sz w:val="18"/>
                <w:szCs w:val="18"/>
              </w:rPr>
            </w:pPr>
            <w:r>
              <w:rPr>
                <w:rFonts w:hint="eastAsia" w:ascii="宋体" w:hAnsi="宋体" w:cs="宋体"/>
                <w:sz w:val="18"/>
                <w:szCs w:val="18"/>
              </w:rPr>
              <w:t>（1）管理概述：管理的概念、管理者的角色认知和素养技能、管理的基本性质与职能、管理基本原理、企业生产流程。（2）管理理论：古典管理理论及主要内容、行为科学理论及主要内容、现代管理理论及主要内容、国管理思想的产生及发展。（3）计划职能：计划的概念类别和程序、编制计划的方法、目标管理、决策的定义和方法。（4）组织职能：组织的含义与作用、组织的结构与设计、组织结构的类型、组织的人员配置。（5）领导职能：领导的概念、激励、沟通。（6）控制职能：控制的概念、控制的过程、控制的方法。（7）业财融合下的企业管理基础综合案例分析。</w:t>
            </w:r>
          </w:p>
        </w:tc>
      </w:tr>
      <w:tr w14:paraId="3687C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39C9F610">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13F19616">
            <w:pPr>
              <w:jc w:val="center"/>
              <w:rPr>
                <w:rFonts w:hint="eastAsia" w:ascii="宋体" w:hAnsi="宋体" w:cs="宋体"/>
                <w:sz w:val="18"/>
                <w:szCs w:val="18"/>
              </w:rPr>
            </w:pPr>
            <w:r>
              <w:rPr>
                <w:rFonts w:hint="eastAsia"/>
                <w:sz w:val="18"/>
                <w:szCs w:val="18"/>
              </w:rPr>
              <w:t>会计基础</w:t>
            </w:r>
          </w:p>
        </w:tc>
        <w:tc>
          <w:tcPr>
            <w:tcW w:w="454" w:type="dxa"/>
            <w:vAlign w:val="center"/>
          </w:tcPr>
          <w:p w14:paraId="36178E67">
            <w:pPr>
              <w:pStyle w:val="24"/>
              <w:spacing w:line="240" w:lineRule="auto"/>
              <w:ind w:left="0" w:firstLine="0" w:firstLineChars="0"/>
              <w:jc w:val="center"/>
              <w:rPr>
                <w:rFonts w:hint="eastAsia"/>
                <w:w w:val="99"/>
                <w:sz w:val="18"/>
                <w:szCs w:val="18"/>
                <w:lang w:val="en-US"/>
              </w:rPr>
            </w:pPr>
            <w:r>
              <w:rPr>
                <w:rFonts w:hint="eastAsia"/>
                <w:w w:val="99"/>
                <w:sz w:val="18"/>
                <w:szCs w:val="18"/>
                <w:lang w:val="en-US"/>
              </w:rPr>
              <w:t>必修</w:t>
            </w:r>
          </w:p>
        </w:tc>
        <w:tc>
          <w:tcPr>
            <w:tcW w:w="454" w:type="dxa"/>
            <w:shd w:val="clear" w:color="auto" w:fill="auto"/>
            <w:vAlign w:val="center"/>
          </w:tcPr>
          <w:p w14:paraId="40BED90A">
            <w:pPr>
              <w:pStyle w:val="24"/>
              <w:spacing w:line="240" w:lineRule="auto"/>
              <w:ind w:left="0" w:firstLine="0" w:firstLineChars="0"/>
              <w:jc w:val="center"/>
              <w:rPr>
                <w:rFonts w:hint="eastAsia" w:eastAsia="宋体"/>
                <w:w w:val="99"/>
                <w:sz w:val="18"/>
                <w:szCs w:val="18"/>
                <w:lang w:val="en-US" w:eastAsia="zh-CN"/>
              </w:rPr>
            </w:pPr>
            <w:r>
              <w:rPr>
                <w:rFonts w:hint="eastAsia"/>
                <w:w w:val="99"/>
                <w:sz w:val="18"/>
                <w:szCs w:val="18"/>
                <w:lang w:val="en-US" w:eastAsia="zh-CN"/>
              </w:rPr>
              <w:t>B</w:t>
            </w:r>
          </w:p>
        </w:tc>
        <w:tc>
          <w:tcPr>
            <w:tcW w:w="454" w:type="dxa"/>
            <w:shd w:val="clear" w:color="auto" w:fill="auto"/>
            <w:vAlign w:val="center"/>
          </w:tcPr>
          <w:p w14:paraId="74992361">
            <w:pPr>
              <w:widowControl/>
              <w:jc w:val="center"/>
              <w:textAlignment w:val="center"/>
              <w:rPr>
                <w:rFonts w:hint="eastAsia" w:ascii="宋体" w:hAnsi="宋体" w:cs="宋体"/>
                <w:w w:val="99"/>
                <w:sz w:val="18"/>
                <w:szCs w:val="18"/>
              </w:rPr>
            </w:pPr>
            <w:r>
              <w:rPr>
                <w:rFonts w:hint="eastAsia" w:ascii="宋体" w:hAnsi="宋体" w:cs="宋体"/>
                <w:color w:val="000000"/>
                <w:kern w:val="0"/>
                <w:sz w:val="18"/>
                <w:szCs w:val="18"/>
              </w:rPr>
              <w:t>4</w:t>
            </w:r>
          </w:p>
        </w:tc>
        <w:tc>
          <w:tcPr>
            <w:tcW w:w="454" w:type="dxa"/>
            <w:shd w:val="clear" w:color="auto" w:fill="auto"/>
            <w:vAlign w:val="center"/>
          </w:tcPr>
          <w:p w14:paraId="31EF3CC5">
            <w:pPr>
              <w:widowControl/>
              <w:jc w:val="center"/>
              <w:textAlignment w:val="center"/>
              <w:rPr>
                <w:rFonts w:hint="eastAsia" w:ascii="宋体" w:hAnsi="宋体" w:cs="宋体"/>
                <w:w w:val="99"/>
                <w:sz w:val="18"/>
                <w:szCs w:val="18"/>
                <w:lang w:eastAsia="en-US"/>
              </w:rPr>
            </w:pPr>
            <w:r>
              <w:rPr>
                <w:rFonts w:hint="eastAsia" w:ascii="宋体" w:hAnsi="宋体" w:cs="宋体"/>
                <w:color w:val="000000"/>
                <w:kern w:val="0"/>
                <w:sz w:val="18"/>
                <w:szCs w:val="18"/>
              </w:rPr>
              <w:t>64</w:t>
            </w:r>
          </w:p>
        </w:tc>
        <w:tc>
          <w:tcPr>
            <w:tcW w:w="454" w:type="dxa"/>
            <w:shd w:val="clear" w:color="auto" w:fill="auto"/>
            <w:vAlign w:val="center"/>
          </w:tcPr>
          <w:p w14:paraId="41FB2736">
            <w:pPr>
              <w:widowControl/>
              <w:jc w:val="center"/>
              <w:textAlignment w:val="center"/>
              <w:rPr>
                <w:rFonts w:hint="default" w:ascii="宋体" w:hAnsi="宋体" w:eastAsia="宋体" w:cs="宋体"/>
                <w:w w:val="99"/>
                <w:sz w:val="18"/>
                <w:szCs w:val="18"/>
                <w:lang w:val="en-US" w:eastAsia="zh-CN"/>
              </w:rPr>
            </w:pPr>
            <w:r>
              <w:rPr>
                <w:rFonts w:hint="eastAsia" w:ascii="宋体" w:hAnsi="宋体" w:cs="宋体"/>
                <w:w w:val="99"/>
                <w:sz w:val="18"/>
                <w:szCs w:val="18"/>
                <w:lang w:val="en-US" w:eastAsia="zh-CN"/>
              </w:rPr>
              <w:t>48</w:t>
            </w:r>
          </w:p>
        </w:tc>
        <w:tc>
          <w:tcPr>
            <w:tcW w:w="454" w:type="dxa"/>
            <w:shd w:val="clear" w:color="auto" w:fill="auto"/>
            <w:vAlign w:val="center"/>
          </w:tcPr>
          <w:p w14:paraId="5B1C0DB2">
            <w:pPr>
              <w:widowControl/>
              <w:jc w:val="center"/>
              <w:textAlignment w:val="center"/>
              <w:rPr>
                <w:rFonts w:hint="default" w:ascii="宋体" w:hAnsi="宋体" w:eastAsia="宋体" w:cs="宋体"/>
                <w:w w:val="99"/>
                <w:sz w:val="18"/>
                <w:szCs w:val="18"/>
                <w:lang w:val="en-US" w:eastAsia="zh-CN"/>
              </w:rPr>
            </w:pPr>
            <w:r>
              <w:rPr>
                <w:rFonts w:hint="eastAsia" w:ascii="宋体" w:hAnsi="宋体" w:cs="宋体"/>
                <w:color w:val="000000"/>
                <w:kern w:val="0"/>
                <w:sz w:val="18"/>
                <w:szCs w:val="18"/>
                <w:lang w:val="en-US" w:eastAsia="zh-CN"/>
              </w:rPr>
              <w:t>16</w:t>
            </w:r>
          </w:p>
        </w:tc>
        <w:tc>
          <w:tcPr>
            <w:tcW w:w="454" w:type="dxa"/>
            <w:shd w:val="clear" w:color="auto" w:fill="auto"/>
            <w:vAlign w:val="center"/>
          </w:tcPr>
          <w:p w14:paraId="5E463FA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454" w:type="dxa"/>
            <w:shd w:val="clear" w:color="auto" w:fill="auto"/>
            <w:vAlign w:val="center"/>
          </w:tcPr>
          <w:p w14:paraId="4804C947">
            <w:pPr>
              <w:pStyle w:val="24"/>
              <w:spacing w:line="240" w:lineRule="auto"/>
              <w:ind w:left="0" w:firstLine="0" w:firstLineChars="0"/>
              <w:jc w:val="center"/>
              <w:rPr>
                <w:rFonts w:hint="eastAsia"/>
                <w:w w:val="99"/>
                <w:sz w:val="18"/>
                <w:szCs w:val="18"/>
              </w:rPr>
            </w:pPr>
            <w:r>
              <w:rPr>
                <w:w w:val="99"/>
                <w:sz w:val="18"/>
                <w:szCs w:val="18"/>
              </w:rPr>
              <w:t>1</w:t>
            </w:r>
          </w:p>
        </w:tc>
        <w:tc>
          <w:tcPr>
            <w:tcW w:w="680" w:type="dxa"/>
            <w:shd w:val="clear" w:color="auto" w:fill="auto"/>
            <w:vAlign w:val="center"/>
          </w:tcPr>
          <w:p w14:paraId="7AAA79F0">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9046" w:type="dxa"/>
            <w:shd w:val="clear" w:color="auto" w:fill="auto"/>
            <w:vAlign w:val="center"/>
          </w:tcPr>
          <w:p w14:paraId="7914E186">
            <w:pPr>
              <w:spacing w:line="240" w:lineRule="exact"/>
              <w:rPr>
                <w:sz w:val="16"/>
                <w:szCs w:val="16"/>
              </w:rPr>
            </w:pPr>
            <w:r>
              <w:rPr>
                <w:rFonts w:hint="eastAsia" w:ascii="宋体" w:hAnsi="宋体" w:cs="宋体"/>
                <w:b/>
                <w:bCs/>
                <w:sz w:val="18"/>
                <w:szCs w:val="18"/>
              </w:rPr>
              <w:t>（</w:t>
            </w:r>
            <w:r>
              <w:rPr>
                <w:rFonts w:hint="eastAsia" w:ascii="宋体" w:hAnsi="宋体" w:cs="宋体"/>
                <w:b/>
                <w:bCs/>
                <w:sz w:val="18"/>
                <w:szCs w:val="18"/>
                <w:lang w:val="en-US" w:eastAsia="zh-CN"/>
              </w:rPr>
              <w:t>1</w:t>
            </w:r>
            <w:r>
              <w:rPr>
                <w:rFonts w:hint="eastAsia" w:ascii="宋体" w:hAnsi="宋体" w:cs="宋体"/>
                <w:b/>
                <w:bCs/>
                <w:sz w:val="18"/>
                <w:szCs w:val="18"/>
              </w:rPr>
              <w:t>）知识</w:t>
            </w:r>
            <w:r>
              <w:rPr>
                <w:rFonts w:hint="eastAsia" w:ascii="宋体" w:hAnsi="宋体" w:cs="宋体"/>
                <w:b/>
                <w:bCs/>
                <w:sz w:val="18"/>
                <w:szCs w:val="18"/>
                <w:lang w:val="en-US" w:eastAsia="zh-CN"/>
              </w:rPr>
              <w:t>目标</w:t>
            </w:r>
            <w:r>
              <w:rPr>
                <w:rFonts w:hint="eastAsia" w:ascii="宋体" w:hAnsi="宋体" w:cs="宋体"/>
                <w:bCs/>
                <w:sz w:val="18"/>
                <w:szCs w:val="18"/>
              </w:rPr>
              <w:t>：了解业财会计的基本概念、基本职能、特点和国家有关财经方针政策。运用借贷记账法解决企业筹资、采购、生产、销售、投资、分配等基本业务的会计核算问题，运用会计实务操作掌握会计凭证、账簿、资产负债表和利润表的作用和内容等。</w:t>
            </w:r>
            <w:r>
              <w:rPr>
                <w:rFonts w:hint="eastAsia" w:ascii="宋体" w:hAnsi="宋体" w:cs="宋体"/>
                <w:b/>
                <w:bCs/>
                <w:sz w:val="18"/>
                <w:szCs w:val="18"/>
              </w:rPr>
              <w:t>（</w:t>
            </w:r>
            <w:r>
              <w:rPr>
                <w:rFonts w:hint="eastAsia" w:ascii="宋体" w:hAnsi="宋体" w:cs="宋体"/>
                <w:b/>
                <w:bCs/>
                <w:sz w:val="18"/>
                <w:szCs w:val="18"/>
                <w:lang w:val="en-US" w:eastAsia="zh-CN"/>
              </w:rPr>
              <w:t>2</w:t>
            </w:r>
            <w:r>
              <w:rPr>
                <w:rFonts w:hint="eastAsia" w:ascii="宋体" w:hAnsi="宋体" w:cs="宋体"/>
                <w:b/>
                <w:bCs/>
                <w:sz w:val="18"/>
                <w:szCs w:val="18"/>
              </w:rPr>
              <w:t>）能力</w:t>
            </w:r>
            <w:r>
              <w:rPr>
                <w:rFonts w:hint="eastAsia" w:ascii="宋体" w:hAnsi="宋体" w:cs="宋体"/>
                <w:b/>
                <w:bCs/>
                <w:sz w:val="18"/>
                <w:szCs w:val="18"/>
                <w:lang w:val="en-US" w:eastAsia="zh-CN"/>
              </w:rPr>
              <w:t>目标</w:t>
            </w:r>
            <w:r>
              <w:rPr>
                <w:rFonts w:hint="eastAsia" w:ascii="宋体" w:hAnsi="宋体" w:cs="宋体"/>
                <w:bCs/>
                <w:sz w:val="18"/>
                <w:szCs w:val="18"/>
              </w:rPr>
              <w:t>：运用借贷记账法对企业基本经济业务进行业务核算，正确填制和审核原始凭证、编制记账凭证、登记账簿，进行对账和结账；根据有关账簿记录编制资产负债表和利润表。</w:t>
            </w:r>
            <w:r>
              <w:rPr>
                <w:rFonts w:hint="eastAsia" w:ascii="宋体" w:hAnsi="宋体" w:cs="宋体"/>
                <w:b/>
                <w:bCs/>
                <w:sz w:val="18"/>
                <w:szCs w:val="18"/>
              </w:rPr>
              <w:t>（</w:t>
            </w:r>
            <w:r>
              <w:rPr>
                <w:rFonts w:hint="eastAsia" w:ascii="宋体" w:hAnsi="宋体" w:cs="宋体"/>
                <w:b/>
                <w:bCs/>
                <w:sz w:val="18"/>
                <w:szCs w:val="18"/>
                <w:lang w:val="en-US" w:eastAsia="zh-CN"/>
              </w:rPr>
              <w:t>3</w:t>
            </w:r>
            <w:r>
              <w:rPr>
                <w:rFonts w:hint="eastAsia" w:ascii="宋体" w:hAnsi="宋体" w:cs="宋体"/>
                <w:b/>
                <w:bCs/>
                <w:sz w:val="18"/>
                <w:szCs w:val="18"/>
              </w:rPr>
              <w:t>）素质</w:t>
            </w:r>
            <w:r>
              <w:rPr>
                <w:rFonts w:hint="eastAsia" w:ascii="宋体" w:hAnsi="宋体" w:cs="宋体"/>
                <w:b/>
                <w:bCs/>
                <w:sz w:val="18"/>
                <w:szCs w:val="18"/>
                <w:lang w:val="en-US" w:eastAsia="zh-CN"/>
              </w:rPr>
              <w:t>目标</w:t>
            </w:r>
            <w:r>
              <w:rPr>
                <w:rFonts w:hint="eastAsia" w:ascii="宋体" w:hAnsi="宋体" w:cs="宋体"/>
                <w:bCs/>
                <w:sz w:val="18"/>
                <w:szCs w:val="18"/>
              </w:rPr>
              <w:t>：培养认真、细致、严谨的工作作风和敬业精神，形成业财融合管理人员应具备的良好职业习惯；培养养成诚实守信、求实廉洁的职业态度，树立良好的职业道德观念；培养创新能力和团队协作的能力。</w:t>
            </w:r>
          </w:p>
        </w:tc>
        <w:tc>
          <w:tcPr>
            <w:tcW w:w="6555" w:type="dxa"/>
            <w:shd w:val="clear" w:color="auto" w:fill="auto"/>
          </w:tcPr>
          <w:p w14:paraId="311CBCE7">
            <w:pPr>
              <w:spacing w:line="240" w:lineRule="exact"/>
              <w:rPr>
                <w:rFonts w:hint="eastAsia" w:ascii="宋体" w:hAnsi="宋体" w:cs="宋体"/>
                <w:sz w:val="18"/>
                <w:szCs w:val="18"/>
              </w:rPr>
            </w:pPr>
            <w:r>
              <w:rPr>
                <w:rFonts w:hint="eastAsia" w:ascii="宋体" w:hAnsi="宋体" w:cs="宋体"/>
                <w:bCs/>
                <w:sz w:val="18"/>
                <w:szCs w:val="18"/>
              </w:rPr>
              <w:t>（1）业财会计基本认知：企业与会计报表、会计要素与会计科目、经济业务与借贷记账法。（2）筹资业务核算：发行股票、短期借款、长期借款。（3）采购业务核算：材料采购、材料入库、采购结算。（4）生产业务核算：直接材料、直接人工、制造费用、完工产品成本。（5）销售业务核算：销售收入、销售成本、销售结算。（6）投资业务核算：固定资产、无形资产、交易性金融资产、长期股权投资。（7）利润与利润分配核算：利润形成、利润结转、利润分配。（8）会计基本工作：填制会计凭证、登记会计账簿、编制会计报表、财务指标分析。</w:t>
            </w:r>
            <w:r>
              <w:rPr>
                <w:rFonts w:hint="eastAsia" w:ascii="宋体" w:hAnsi="宋体" w:cs="宋体"/>
                <w:sz w:val="18"/>
                <w:szCs w:val="18"/>
              </w:rPr>
              <w:t>（9）业财融合下的业财融合会计基础综合案例分析。</w:t>
            </w:r>
          </w:p>
        </w:tc>
      </w:tr>
      <w:tr w14:paraId="656D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11063FCF">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37CA9622">
            <w:pPr>
              <w:jc w:val="cente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大数据技术基础</w:t>
            </w:r>
          </w:p>
        </w:tc>
        <w:tc>
          <w:tcPr>
            <w:tcW w:w="454" w:type="dxa"/>
            <w:vAlign w:val="center"/>
          </w:tcPr>
          <w:p w14:paraId="71EE5716">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必修</w:t>
            </w:r>
          </w:p>
        </w:tc>
        <w:tc>
          <w:tcPr>
            <w:tcW w:w="454" w:type="dxa"/>
            <w:shd w:val="clear" w:color="auto" w:fill="auto"/>
            <w:vAlign w:val="center"/>
          </w:tcPr>
          <w:p w14:paraId="5F8FE4CC">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C</w:t>
            </w:r>
          </w:p>
        </w:tc>
        <w:tc>
          <w:tcPr>
            <w:tcW w:w="454" w:type="dxa"/>
            <w:shd w:val="clear" w:color="auto" w:fill="auto"/>
            <w:vAlign w:val="center"/>
          </w:tcPr>
          <w:p w14:paraId="2E493F0D">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3</w:t>
            </w:r>
          </w:p>
        </w:tc>
        <w:tc>
          <w:tcPr>
            <w:tcW w:w="454" w:type="dxa"/>
            <w:shd w:val="clear" w:color="auto" w:fill="auto"/>
            <w:vAlign w:val="center"/>
          </w:tcPr>
          <w:p w14:paraId="4B04A080">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48</w:t>
            </w:r>
          </w:p>
        </w:tc>
        <w:tc>
          <w:tcPr>
            <w:tcW w:w="454" w:type="dxa"/>
            <w:shd w:val="clear" w:color="auto" w:fill="auto"/>
            <w:vAlign w:val="center"/>
          </w:tcPr>
          <w:p w14:paraId="0B8E32FB">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2</w:t>
            </w:r>
          </w:p>
        </w:tc>
        <w:tc>
          <w:tcPr>
            <w:tcW w:w="454" w:type="dxa"/>
            <w:shd w:val="clear" w:color="auto" w:fill="auto"/>
            <w:vAlign w:val="center"/>
          </w:tcPr>
          <w:p w14:paraId="694690E9">
            <w:pPr>
              <w:widowControl/>
              <w:jc w:val="center"/>
              <w:textAlignment w:val="center"/>
              <w:rPr>
                <w:rFonts w:hint="eastAsia"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rPr>
              <w:t>4</w:t>
            </w:r>
            <w:r>
              <w:rPr>
                <w:rFonts w:hint="eastAsia" w:cs="宋体" w:asciiTheme="minorEastAsia" w:hAnsiTheme="minorEastAsia" w:eastAsiaTheme="minorEastAsia"/>
                <w:color w:val="000000"/>
                <w:kern w:val="0"/>
                <w:sz w:val="18"/>
                <w:szCs w:val="18"/>
                <w:lang w:val="en-US" w:eastAsia="zh-CN"/>
              </w:rPr>
              <w:t>6</w:t>
            </w:r>
          </w:p>
        </w:tc>
        <w:tc>
          <w:tcPr>
            <w:tcW w:w="454" w:type="dxa"/>
            <w:shd w:val="clear" w:color="auto" w:fill="auto"/>
            <w:vAlign w:val="center"/>
          </w:tcPr>
          <w:p w14:paraId="533230A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454" w:type="dxa"/>
            <w:shd w:val="clear" w:color="auto" w:fill="auto"/>
            <w:vAlign w:val="center"/>
          </w:tcPr>
          <w:p w14:paraId="47817A18">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w w:val="99"/>
                <w:sz w:val="18"/>
                <w:szCs w:val="18"/>
              </w:rPr>
              <w:t>1</w:t>
            </w:r>
          </w:p>
        </w:tc>
        <w:tc>
          <w:tcPr>
            <w:tcW w:w="680" w:type="dxa"/>
            <w:shd w:val="clear" w:color="auto" w:fill="auto"/>
            <w:vAlign w:val="center"/>
          </w:tcPr>
          <w:p w14:paraId="4D35B51F">
            <w:pPr>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rPr>
              <w:t>学校</w:t>
            </w:r>
          </w:p>
        </w:tc>
        <w:tc>
          <w:tcPr>
            <w:tcW w:w="9046" w:type="dxa"/>
            <w:shd w:val="clear" w:color="auto" w:fill="auto"/>
            <w:vAlign w:val="center"/>
          </w:tcPr>
          <w:p w14:paraId="20724E44">
            <w:pPr>
              <w:spacing w:line="240" w:lineRule="exact"/>
              <w:rPr>
                <w:rFonts w:hint="eastAsia" w:asciiTheme="minorEastAsia" w:hAnsiTheme="minorEastAsia" w:eastAsiaTheme="minorEastAsia" w:cstheme="minorEastAsia"/>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）知识</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了解</w:t>
            </w:r>
            <w:r>
              <w:rPr>
                <w:rFonts w:ascii="宋体" w:hAnsi="宋体" w:cs="宋体"/>
                <w:sz w:val="18"/>
                <w:szCs w:val="18"/>
              </w:rPr>
              <w:t>Python</w:t>
            </w:r>
            <w:r>
              <w:rPr>
                <w:rFonts w:hint="eastAsia" w:ascii="宋体" w:hAnsi="宋体" w:cs="宋体"/>
                <w:sz w:val="18"/>
                <w:szCs w:val="18"/>
              </w:rPr>
              <w:t>语言的发展、特点与应用方向，常用数据类型及其常见应用场景与方法；了解与数据相关的法律法规，网络爬虫合法性问题，数据分类及获取数据方法，了解</w:t>
            </w:r>
            <w:r>
              <w:rPr>
                <w:rFonts w:ascii="宋体" w:hAnsi="宋体" w:cs="宋体"/>
                <w:sz w:val="18"/>
                <w:szCs w:val="18"/>
              </w:rPr>
              <w:t>API,</w:t>
            </w:r>
            <w:r>
              <w:rPr>
                <w:rFonts w:hint="eastAsia" w:ascii="宋体" w:hAnsi="宋体" w:cs="宋体"/>
                <w:sz w:val="18"/>
                <w:szCs w:val="18"/>
              </w:rPr>
              <w:t>掌握</w:t>
            </w:r>
            <w:r>
              <w:rPr>
                <w:rFonts w:ascii="宋体" w:hAnsi="宋体" w:cs="宋体"/>
                <w:sz w:val="18"/>
                <w:szCs w:val="18"/>
              </w:rPr>
              <w:t>API</w:t>
            </w:r>
            <w:r>
              <w:rPr>
                <w:rFonts w:hint="eastAsia" w:ascii="宋体" w:hAnsi="宋体" w:cs="宋体"/>
                <w:sz w:val="18"/>
                <w:szCs w:val="18"/>
              </w:rPr>
              <w:t>获取数据的方法；了解网络爬虫及其运行逻辑，常用工具，方案制定方法；了解数据分析的应用场景，常用方法及工具；了解大数据可视化基本概念与发展历程，优点价值、常用工具，应用场景；了解大数据发展挑战，安全问题、社会伦理问题等问题。</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能够运用大数据工具和技术对数据进行清洗、转换、集成等预处理操作，并能够运用统计分析、机器学习等方法进行数据分析；能够使用数据可视化工具将分析结果以图表、图形等形式直观地展示出来，帮助理解复杂数据。</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培养学生的职业道德观念，强调数据隐私保护、数据安全等重要性，使学生能够在大数据处理和分析中遵守职业道德规范；鼓励学生探索大数据领域的新技术、新方法，培养学生的创新意识和实践能力。</w:t>
            </w:r>
          </w:p>
        </w:tc>
        <w:tc>
          <w:tcPr>
            <w:tcW w:w="6555" w:type="dxa"/>
            <w:vAlign w:val="center"/>
          </w:tcPr>
          <w:p w14:paraId="66ACFFF3">
            <w:pPr>
              <w:spacing w:line="240" w:lineRule="exact"/>
              <w:rPr>
                <w:rFonts w:hint="eastAsia" w:ascii="宋体" w:hAnsi="宋体" w:cs="宋体"/>
                <w:sz w:val="18"/>
                <w:szCs w:val="18"/>
              </w:rPr>
            </w:pPr>
            <w:r>
              <w:rPr>
                <w:rFonts w:hint="eastAsia" w:ascii="宋体" w:hAnsi="宋体" w:cs="宋体"/>
                <w:sz w:val="18"/>
                <w:szCs w:val="18"/>
              </w:rPr>
              <w:t>（1）走近大数据：大数据概述。（2）大数据的存储：数据库基础；</w:t>
            </w:r>
            <w:r>
              <w:rPr>
                <w:rFonts w:ascii="宋体" w:hAnsi="宋体" w:cs="宋体"/>
                <w:sz w:val="18"/>
                <w:szCs w:val="18"/>
              </w:rPr>
              <w:t>SQL</w:t>
            </w:r>
            <w:r>
              <w:rPr>
                <w:rFonts w:hint="eastAsia" w:ascii="宋体" w:hAnsi="宋体" w:cs="宋体"/>
                <w:sz w:val="18"/>
                <w:szCs w:val="18"/>
              </w:rPr>
              <w:t>常用操作。（3）大数据编辑语言：</w:t>
            </w:r>
            <w:r>
              <w:rPr>
                <w:rFonts w:ascii="宋体" w:hAnsi="宋体" w:cs="宋体"/>
                <w:sz w:val="18"/>
                <w:szCs w:val="18"/>
              </w:rPr>
              <w:t>Python</w:t>
            </w:r>
            <w:r>
              <w:rPr>
                <w:rFonts w:hint="eastAsia" w:ascii="宋体" w:hAnsi="宋体" w:cs="宋体"/>
                <w:sz w:val="18"/>
                <w:szCs w:val="18"/>
              </w:rPr>
              <w:t>语言简介；Py</w:t>
            </w:r>
            <w:r>
              <w:rPr>
                <w:rFonts w:ascii="宋体" w:hAnsi="宋体" w:cs="宋体"/>
                <w:sz w:val="18"/>
                <w:szCs w:val="18"/>
              </w:rPr>
              <w:t>thon</w:t>
            </w:r>
            <w:r>
              <w:rPr>
                <w:rFonts w:hint="eastAsia" w:ascii="宋体" w:hAnsi="宋体" w:cs="宋体"/>
                <w:sz w:val="18"/>
                <w:szCs w:val="18"/>
              </w:rPr>
              <w:t>常用数据类型；</w:t>
            </w:r>
            <w:r>
              <w:rPr>
                <w:rFonts w:ascii="宋体" w:hAnsi="宋体" w:cs="宋体"/>
                <w:sz w:val="18"/>
                <w:szCs w:val="18"/>
              </w:rPr>
              <w:t>Python</w:t>
            </w:r>
            <w:r>
              <w:rPr>
                <w:rFonts w:hint="eastAsia" w:ascii="宋体" w:hAnsi="宋体" w:cs="宋体"/>
                <w:sz w:val="18"/>
                <w:szCs w:val="18"/>
              </w:rPr>
              <w:t>运算与流程；</w:t>
            </w:r>
            <w:r>
              <w:rPr>
                <w:rFonts w:ascii="宋体" w:hAnsi="宋体" w:cs="宋体"/>
                <w:sz w:val="18"/>
                <w:szCs w:val="18"/>
              </w:rPr>
              <w:t>Python</w:t>
            </w:r>
            <w:r>
              <w:rPr>
                <w:rFonts w:hint="eastAsia" w:ascii="宋体" w:hAnsi="宋体" w:cs="宋体"/>
                <w:sz w:val="18"/>
                <w:szCs w:val="18"/>
              </w:rPr>
              <w:t>程序功能</w:t>
            </w:r>
            <w:r>
              <w:rPr>
                <w:rFonts w:hint="eastAsia" w:ascii="宋体" w:hAnsi="宋体" w:cs="宋体"/>
                <w:sz w:val="18"/>
                <w:szCs w:val="18"/>
                <w:lang w:val="en-US" w:eastAsia="zh-CN"/>
              </w:rPr>
              <w:t>应用。</w:t>
            </w:r>
            <w:r>
              <w:rPr>
                <w:rFonts w:hint="eastAsia" w:ascii="宋体" w:hAnsi="宋体" w:cs="宋体"/>
                <w:sz w:val="18"/>
                <w:szCs w:val="18"/>
              </w:rPr>
              <w:t>（4）大数据获取：大数据获取基础；</w:t>
            </w:r>
            <w:r>
              <w:rPr>
                <w:rFonts w:ascii="宋体" w:hAnsi="宋体" w:cs="宋体"/>
                <w:sz w:val="18"/>
                <w:szCs w:val="18"/>
              </w:rPr>
              <w:t>API</w:t>
            </w:r>
            <w:r>
              <w:rPr>
                <w:rFonts w:hint="eastAsia" w:ascii="宋体" w:hAnsi="宋体" w:cs="宋体"/>
                <w:sz w:val="18"/>
                <w:szCs w:val="18"/>
              </w:rPr>
              <w:t>数据获取；网络爬虫数据获取。（5）大数据分析：大数据分析基础；</w:t>
            </w:r>
            <w:r>
              <w:rPr>
                <w:rFonts w:ascii="宋体" w:hAnsi="宋体" w:cs="宋体"/>
                <w:sz w:val="18"/>
                <w:szCs w:val="18"/>
              </w:rPr>
              <w:t>Python</w:t>
            </w:r>
            <w:r>
              <w:rPr>
                <w:rFonts w:hint="eastAsia" w:ascii="宋体" w:hAnsi="宋体" w:cs="宋体"/>
                <w:sz w:val="18"/>
                <w:szCs w:val="18"/>
              </w:rPr>
              <w:t>数据分析；产品收入成本数据分析。（6</w:t>
            </w:r>
            <w:r>
              <w:rPr>
                <w:rFonts w:ascii="宋体" w:hAnsi="宋体" w:cs="宋体"/>
                <w:sz w:val="18"/>
                <w:szCs w:val="18"/>
              </w:rPr>
              <w:t>）</w:t>
            </w:r>
            <w:r>
              <w:rPr>
                <w:rFonts w:hint="eastAsia" w:ascii="宋体" w:hAnsi="宋体" w:cs="宋体"/>
                <w:sz w:val="18"/>
                <w:szCs w:val="18"/>
              </w:rPr>
              <w:t>数据可视化：大数据可视化基础；</w:t>
            </w:r>
            <w:r>
              <w:rPr>
                <w:rFonts w:ascii="宋体" w:hAnsi="宋体" w:cs="宋体"/>
                <w:sz w:val="18"/>
                <w:szCs w:val="18"/>
              </w:rPr>
              <w:t>Python</w:t>
            </w:r>
            <w:r>
              <w:rPr>
                <w:rFonts w:hint="eastAsia" w:ascii="宋体" w:hAnsi="宋体" w:cs="宋体"/>
                <w:sz w:val="18"/>
                <w:szCs w:val="18"/>
              </w:rPr>
              <w:t>数据可视化；商品销售数据可视化。（7</w:t>
            </w:r>
            <w:r>
              <w:rPr>
                <w:rFonts w:ascii="宋体" w:hAnsi="宋体" w:cs="宋体"/>
                <w:sz w:val="18"/>
                <w:szCs w:val="18"/>
              </w:rPr>
              <w:t>）</w:t>
            </w:r>
            <w:r>
              <w:rPr>
                <w:rFonts w:hint="eastAsia" w:ascii="宋体" w:hAnsi="宋体" w:cs="宋体"/>
                <w:sz w:val="18"/>
                <w:szCs w:val="18"/>
              </w:rPr>
              <w:t>大数据思考：大数据思考与展望。</w:t>
            </w:r>
          </w:p>
          <w:p w14:paraId="15E3F654">
            <w:pPr>
              <w:pStyle w:val="24"/>
              <w:spacing w:line="240" w:lineRule="auto"/>
              <w:ind w:left="0" w:right="105" w:rightChars="50" w:firstLine="0" w:firstLineChars="0"/>
              <w:rPr>
                <w:rFonts w:hint="eastAsia" w:asciiTheme="minorEastAsia" w:hAnsiTheme="minorEastAsia" w:eastAsiaTheme="minorEastAsia" w:cstheme="minorEastAsia"/>
                <w:sz w:val="18"/>
                <w:szCs w:val="18"/>
              </w:rPr>
            </w:pPr>
          </w:p>
        </w:tc>
      </w:tr>
      <w:tr w14:paraId="41E05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3E9E213C">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536DC859">
            <w:pPr>
              <w:jc w:val="center"/>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现代金融基础</w:t>
            </w:r>
          </w:p>
        </w:tc>
        <w:tc>
          <w:tcPr>
            <w:tcW w:w="454" w:type="dxa"/>
            <w:vAlign w:val="center"/>
          </w:tcPr>
          <w:p w14:paraId="35ABD819">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必修</w:t>
            </w:r>
          </w:p>
        </w:tc>
        <w:tc>
          <w:tcPr>
            <w:tcW w:w="454" w:type="dxa"/>
            <w:shd w:val="clear" w:color="auto" w:fill="auto"/>
            <w:vAlign w:val="center"/>
          </w:tcPr>
          <w:p w14:paraId="1C8E01CA">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B</w:t>
            </w:r>
          </w:p>
        </w:tc>
        <w:tc>
          <w:tcPr>
            <w:tcW w:w="454" w:type="dxa"/>
            <w:shd w:val="clear" w:color="auto" w:fill="auto"/>
            <w:vAlign w:val="center"/>
          </w:tcPr>
          <w:p w14:paraId="0EE75989">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2</w:t>
            </w:r>
          </w:p>
        </w:tc>
        <w:tc>
          <w:tcPr>
            <w:tcW w:w="454" w:type="dxa"/>
            <w:shd w:val="clear" w:color="auto" w:fill="auto"/>
            <w:vAlign w:val="center"/>
          </w:tcPr>
          <w:p w14:paraId="5C628441">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32</w:t>
            </w:r>
          </w:p>
        </w:tc>
        <w:tc>
          <w:tcPr>
            <w:tcW w:w="454" w:type="dxa"/>
            <w:shd w:val="clear" w:color="auto" w:fill="auto"/>
            <w:vAlign w:val="center"/>
          </w:tcPr>
          <w:p w14:paraId="4A78A740">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24</w:t>
            </w:r>
          </w:p>
        </w:tc>
        <w:tc>
          <w:tcPr>
            <w:tcW w:w="454" w:type="dxa"/>
            <w:shd w:val="clear" w:color="auto" w:fill="auto"/>
            <w:vAlign w:val="center"/>
          </w:tcPr>
          <w:p w14:paraId="11B522D6">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color w:val="000000"/>
                <w:kern w:val="0"/>
                <w:sz w:val="18"/>
                <w:szCs w:val="18"/>
              </w:rPr>
              <w:t>8</w:t>
            </w:r>
          </w:p>
        </w:tc>
        <w:tc>
          <w:tcPr>
            <w:tcW w:w="454" w:type="dxa"/>
            <w:shd w:val="clear" w:color="auto" w:fill="auto"/>
            <w:vAlign w:val="center"/>
          </w:tcPr>
          <w:p w14:paraId="6D062463">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考试</w:t>
            </w:r>
          </w:p>
        </w:tc>
        <w:tc>
          <w:tcPr>
            <w:tcW w:w="454" w:type="dxa"/>
            <w:shd w:val="clear" w:color="auto" w:fill="auto"/>
            <w:vAlign w:val="center"/>
          </w:tcPr>
          <w:p w14:paraId="1FAED018">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w w:val="99"/>
                <w:sz w:val="18"/>
                <w:szCs w:val="18"/>
              </w:rPr>
              <w:t>2</w:t>
            </w:r>
          </w:p>
        </w:tc>
        <w:tc>
          <w:tcPr>
            <w:tcW w:w="680" w:type="dxa"/>
            <w:shd w:val="clear" w:color="auto" w:fill="auto"/>
            <w:vAlign w:val="center"/>
          </w:tcPr>
          <w:p w14:paraId="1071F260">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9046" w:type="dxa"/>
            <w:shd w:val="clear" w:color="auto" w:fill="auto"/>
            <w:vAlign w:val="center"/>
          </w:tcPr>
          <w:p w14:paraId="231610AE">
            <w:pPr>
              <w:spacing w:line="240" w:lineRule="exact"/>
              <w:rPr>
                <w:rFonts w:hint="eastAsia" w:eastAsia="宋体" w:asciiTheme="minorEastAsia" w:hAnsiTheme="minorEastAsia" w:cstheme="minorEastAsia"/>
                <w:sz w:val="18"/>
                <w:szCs w:val="18"/>
                <w:lang w:val="en-US" w:eastAsia="zh-CN"/>
              </w:rPr>
            </w:pP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知识目标</w:t>
            </w:r>
            <w:r>
              <w:rPr>
                <w:rFonts w:hint="eastAsia" w:ascii="宋体" w:hAnsi="宋体" w:eastAsia="宋体" w:cs="宋体"/>
                <w:b/>
                <w:bCs/>
                <w:sz w:val="18"/>
                <w:szCs w:val="18"/>
                <w:lang w:eastAsia="zh-CN"/>
              </w:rPr>
              <w:t>：</w:t>
            </w:r>
            <w:r>
              <w:rPr>
                <w:rFonts w:hint="eastAsia" w:ascii="宋体" w:hAnsi="宋体" w:eastAsia="宋体" w:cs="宋体"/>
                <w:sz w:val="18"/>
                <w:szCs w:val="18"/>
              </w:rPr>
              <w:t>理解货币和货币制度相关概念和理论；了解我国和国际的金融机构体系，掌握中央银行、商业银行等重点金融机构的特性、业务和相关理论等；理解金融市场和金融工具的基本概念、基本理念；掌握货币市场和资本市场子市场和相关金融工具的含义、特点、功能、运行机制，理解相关金融产品的价值评估原理；了解金融衍生工具市场子市场和相关金融工具的含义、特点、功能等；理解宏观金融基本范畴和相关理论:货币需求与货币供给、货币均衡与市场均衡、利率形成与汇率形成、通货膨胀与通货紧缩、金融风险与监管，互联网金融。</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lang w:eastAsia="zh-CN"/>
              </w:rPr>
              <w:t>）</w:t>
            </w:r>
            <w:r>
              <w:rPr>
                <w:rFonts w:hint="eastAsia" w:ascii="宋体" w:hAnsi="宋体" w:eastAsia="宋体" w:cs="宋体"/>
                <w:b/>
                <w:bCs/>
                <w:sz w:val="18"/>
                <w:szCs w:val="18"/>
              </w:rPr>
              <w:t>能力目标</w:t>
            </w:r>
            <w:r>
              <w:rPr>
                <w:rFonts w:hint="eastAsia" w:ascii="宋体" w:hAnsi="宋体" w:eastAsia="宋体" w:cs="宋体"/>
                <w:b/>
                <w:bCs/>
                <w:sz w:val="18"/>
                <w:szCs w:val="18"/>
                <w:lang w:val="en-US" w:eastAsia="zh-CN"/>
              </w:rPr>
              <w:t>:</w:t>
            </w:r>
            <w:r>
              <w:rPr>
                <w:rFonts w:hint="eastAsia" w:ascii="宋体" w:hAnsi="宋体" w:eastAsia="宋体" w:cs="宋体"/>
                <w:sz w:val="18"/>
                <w:szCs w:val="18"/>
              </w:rPr>
              <w:t>通过课堂教学和课外学习，使学生了解国内外金融问题的现状，掌握观察和分析金融问题的正确方法，具有解决金融实际问题的能力。了解我国金融实践发展新的改革方向，新变化，新形势。培养可持续学习的能力，具有终身学习意识、自主学习能力和自我发展潜能，主动学习学科前沿知识、行业动态、岗位技能。</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）素质目标</w:t>
            </w:r>
            <w:r>
              <w:rPr>
                <w:rFonts w:hint="eastAsia" w:ascii="宋体" w:hAnsi="宋体" w:eastAsia="宋体" w:cs="宋体"/>
                <w:b/>
                <w:bCs/>
                <w:sz w:val="18"/>
                <w:szCs w:val="18"/>
                <w:lang w:val="en-US" w:eastAsia="zh-CN"/>
              </w:rPr>
              <w:t>:</w:t>
            </w:r>
            <w:r>
              <w:rPr>
                <w:rFonts w:hint="eastAsia" w:ascii="宋体" w:hAnsi="宋体" w:eastAsia="宋体" w:cs="宋体"/>
                <w:sz w:val="18"/>
                <w:szCs w:val="18"/>
              </w:rPr>
              <w:t>具备基本的现代公民金融素养、诚信服务的职业道德</w:t>
            </w:r>
            <w:r>
              <w:rPr>
                <w:rFonts w:hint="eastAsia" w:ascii="宋体" w:hAnsi="宋体" w:eastAsia="宋体" w:cs="宋体"/>
                <w:sz w:val="18"/>
                <w:szCs w:val="18"/>
                <w:lang w:val="en-US" w:eastAsia="zh-CN"/>
              </w:rPr>
              <w:t>;</w:t>
            </w:r>
            <w:r>
              <w:rPr>
                <w:rFonts w:hint="eastAsia" w:ascii="宋体" w:hAnsi="宋体" w:eastAsia="宋体" w:cs="宋体"/>
                <w:sz w:val="18"/>
                <w:szCs w:val="18"/>
              </w:rPr>
              <w:t>了解基本国情，关心国家社会经济金融现实问题及发展</w:t>
            </w:r>
            <w:r>
              <w:rPr>
                <w:rFonts w:hint="eastAsia" w:ascii="宋体" w:hAnsi="宋体" w:eastAsia="宋体" w:cs="宋体"/>
                <w:sz w:val="18"/>
                <w:szCs w:val="18"/>
                <w:lang w:val="en-US" w:eastAsia="zh-CN"/>
              </w:rPr>
              <w:t>;</w:t>
            </w:r>
            <w:r>
              <w:rPr>
                <w:rFonts w:hint="eastAsia" w:ascii="宋体" w:hAnsi="宋体" w:eastAsia="宋体" w:cs="宋体"/>
                <w:sz w:val="18"/>
                <w:szCs w:val="18"/>
              </w:rPr>
              <w:t>坚定四个自信、树立金融自信、增强政治信念</w:t>
            </w:r>
            <w:r>
              <w:rPr>
                <w:rFonts w:hint="eastAsia" w:ascii="宋体" w:hAnsi="宋体" w:eastAsia="宋体" w:cs="宋体"/>
                <w:sz w:val="18"/>
                <w:szCs w:val="18"/>
                <w:lang w:eastAsia="zh-CN"/>
              </w:rPr>
              <w:t>。</w:t>
            </w:r>
          </w:p>
        </w:tc>
        <w:tc>
          <w:tcPr>
            <w:tcW w:w="6555" w:type="dxa"/>
            <w:vAlign w:val="center"/>
          </w:tcPr>
          <w:p w14:paraId="1383C9C5">
            <w:pPr>
              <w:spacing w:line="240" w:lineRule="exact"/>
              <w:rPr>
                <w:rFonts w:hint="default" w:asciiTheme="minorEastAsia" w:hAnsiTheme="minorEastAsia" w:eastAsiaTheme="minorEastAsia" w:cstheme="minorEastAsia"/>
                <w:sz w:val="18"/>
                <w:szCs w:val="18"/>
                <w:lang w:val="en-US" w:eastAsia="zh-CN"/>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走进金融：金融概述。（2）树立正确的金钱观：货币的起源和本质、货币的职能、货币制度、货币形式的演变。（3）树立现代信用观：信用的含义、特点，信用工具。（</w:t>
            </w:r>
            <w:r>
              <w:rPr>
                <w:rFonts w:hint="eastAsia" w:ascii="宋体" w:hAnsi="宋体" w:cs="宋体"/>
                <w:sz w:val="18"/>
                <w:szCs w:val="18"/>
                <w:lang w:val="en-US" w:eastAsia="zh-CN"/>
              </w:rPr>
              <w:t>4</w:t>
            </w:r>
            <w:r>
              <w:rPr>
                <w:rFonts w:hint="eastAsia" w:ascii="宋体" w:hAnsi="宋体" w:eastAsia="宋体" w:cs="宋体"/>
                <w:sz w:val="18"/>
                <w:szCs w:val="18"/>
                <w:lang w:val="en-US" w:eastAsia="zh-CN"/>
              </w:rPr>
              <w:t>）计算利息：利息与利率。（</w:t>
            </w:r>
            <w:r>
              <w:rPr>
                <w:rFonts w:hint="eastAsia" w:ascii="宋体" w:hAnsi="宋体" w:cs="宋体"/>
                <w:sz w:val="18"/>
                <w:szCs w:val="18"/>
                <w:lang w:val="en-US" w:eastAsia="zh-CN"/>
              </w:rPr>
              <w:t>5</w:t>
            </w:r>
            <w:r>
              <w:rPr>
                <w:rFonts w:hint="eastAsia" w:ascii="宋体" w:hAnsi="宋体" w:eastAsia="宋体" w:cs="宋体"/>
                <w:sz w:val="18"/>
                <w:szCs w:val="18"/>
                <w:lang w:val="en-US" w:eastAsia="zh-CN"/>
              </w:rPr>
              <w:t>）</w:t>
            </w:r>
            <w:r>
              <w:rPr>
                <w:rFonts w:hint="eastAsia" w:ascii="宋体" w:hAnsi="宋体" w:eastAsia="宋体" w:cs="宋体"/>
                <w:sz w:val="18"/>
                <w:szCs w:val="18"/>
              </w:rPr>
              <w:t>认识企业的间接融资渠道</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中央银行、商业银行等金融机构的职能、业务。（</w:t>
            </w:r>
            <w:r>
              <w:rPr>
                <w:rFonts w:hint="eastAsia" w:ascii="宋体" w:hAnsi="宋体" w:cs="宋体"/>
                <w:sz w:val="18"/>
                <w:szCs w:val="18"/>
                <w:lang w:val="en-US" w:eastAsia="zh-CN"/>
              </w:rPr>
              <w:t>6</w:t>
            </w:r>
            <w:r>
              <w:rPr>
                <w:rFonts w:hint="eastAsia" w:ascii="宋体" w:hAnsi="宋体" w:eastAsia="宋体" w:cs="宋体"/>
                <w:sz w:val="18"/>
                <w:szCs w:val="18"/>
                <w:lang w:val="en-US" w:eastAsia="zh-CN"/>
              </w:rPr>
              <w:t>）认识企业的直接融资渠道：货币市场、资本市场。（</w:t>
            </w:r>
            <w:r>
              <w:rPr>
                <w:rFonts w:hint="eastAsia" w:ascii="宋体" w:hAnsi="宋体" w:cs="宋体"/>
                <w:sz w:val="18"/>
                <w:szCs w:val="18"/>
                <w:lang w:val="en-US" w:eastAsia="zh-CN"/>
              </w:rPr>
              <w:t>7</w:t>
            </w:r>
            <w:r>
              <w:rPr>
                <w:rFonts w:hint="eastAsia" w:ascii="宋体" w:hAnsi="宋体" w:eastAsia="宋体" w:cs="宋体"/>
                <w:sz w:val="18"/>
                <w:szCs w:val="18"/>
                <w:lang w:val="en-US" w:eastAsia="zh-CN"/>
              </w:rPr>
              <w:t>）货币均衡、通货膨胀与通货紧缩。（</w:t>
            </w:r>
            <w:r>
              <w:rPr>
                <w:rFonts w:hint="eastAsia" w:ascii="宋体" w:hAnsi="宋体" w:cs="宋体"/>
                <w:sz w:val="18"/>
                <w:szCs w:val="18"/>
                <w:lang w:val="en-US" w:eastAsia="zh-CN"/>
              </w:rPr>
              <w:t>8</w:t>
            </w:r>
            <w:r>
              <w:rPr>
                <w:rFonts w:hint="eastAsia" w:ascii="宋体" w:hAnsi="宋体" w:eastAsia="宋体" w:cs="宋体"/>
                <w:sz w:val="18"/>
                <w:szCs w:val="18"/>
                <w:lang w:val="en-US" w:eastAsia="zh-CN"/>
              </w:rPr>
              <w:t>）货币政策：传统货币政策与创新型货币政策。（</w:t>
            </w:r>
            <w:r>
              <w:rPr>
                <w:rFonts w:hint="eastAsia" w:ascii="宋体" w:hAnsi="宋体" w:cs="宋体"/>
                <w:sz w:val="18"/>
                <w:szCs w:val="18"/>
                <w:lang w:val="en-US" w:eastAsia="zh-CN"/>
              </w:rPr>
              <w:t>9</w:t>
            </w:r>
            <w:r>
              <w:rPr>
                <w:rFonts w:hint="eastAsia" w:ascii="宋体" w:hAnsi="宋体" w:eastAsia="宋体" w:cs="宋体"/>
                <w:sz w:val="18"/>
                <w:szCs w:val="18"/>
                <w:lang w:val="en-US" w:eastAsia="zh-CN"/>
              </w:rPr>
              <w:t>）认识金融风险与防范金融风险。</w:t>
            </w:r>
          </w:p>
        </w:tc>
      </w:tr>
      <w:tr w14:paraId="7B00D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561D169C">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34F94D7E">
            <w:pPr>
              <w:jc w:val="center"/>
              <w:rPr>
                <w:rFonts w:hint="default" w:cs="宋体"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val="en-US" w:eastAsia="zh-CN"/>
              </w:rPr>
              <w:t>企业财务会计</w:t>
            </w:r>
          </w:p>
        </w:tc>
        <w:tc>
          <w:tcPr>
            <w:tcW w:w="454" w:type="dxa"/>
            <w:vAlign w:val="center"/>
          </w:tcPr>
          <w:p w14:paraId="5B1EA70D">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必修</w:t>
            </w:r>
          </w:p>
        </w:tc>
        <w:tc>
          <w:tcPr>
            <w:tcW w:w="454" w:type="dxa"/>
            <w:shd w:val="clear" w:color="auto" w:fill="auto"/>
            <w:vAlign w:val="center"/>
          </w:tcPr>
          <w:p w14:paraId="41FB741D">
            <w:pPr>
              <w:pStyle w:val="24"/>
              <w:spacing w:line="240" w:lineRule="auto"/>
              <w:ind w:left="0" w:firstLine="0" w:firstLineChars="0"/>
              <w:jc w:val="center"/>
              <w:rPr>
                <w:rFonts w:hint="eastAsia" w:asciiTheme="minorEastAsia" w:hAnsiTheme="minorEastAsia" w:eastAsiaTheme="minorEastAsia"/>
                <w:w w:val="99"/>
                <w:sz w:val="18"/>
                <w:szCs w:val="18"/>
                <w:lang w:val="en-US" w:eastAsia="zh-CN"/>
              </w:rPr>
            </w:pPr>
            <w:r>
              <w:rPr>
                <w:rFonts w:hint="eastAsia" w:asciiTheme="minorEastAsia" w:hAnsiTheme="minorEastAsia" w:eastAsiaTheme="minorEastAsia"/>
                <w:w w:val="99"/>
                <w:sz w:val="18"/>
                <w:szCs w:val="18"/>
                <w:lang w:val="en-US" w:eastAsia="zh-CN"/>
              </w:rPr>
              <w:t>B</w:t>
            </w:r>
          </w:p>
        </w:tc>
        <w:tc>
          <w:tcPr>
            <w:tcW w:w="454" w:type="dxa"/>
            <w:shd w:val="clear" w:color="auto" w:fill="auto"/>
            <w:vAlign w:val="center"/>
          </w:tcPr>
          <w:p w14:paraId="66A266EE">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w:t>
            </w:r>
          </w:p>
        </w:tc>
        <w:tc>
          <w:tcPr>
            <w:tcW w:w="454" w:type="dxa"/>
            <w:shd w:val="clear" w:color="auto" w:fill="auto"/>
            <w:vAlign w:val="center"/>
          </w:tcPr>
          <w:p w14:paraId="7F53B5F6">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64</w:t>
            </w:r>
          </w:p>
        </w:tc>
        <w:tc>
          <w:tcPr>
            <w:tcW w:w="454" w:type="dxa"/>
            <w:shd w:val="clear" w:color="auto" w:fill="auto"/>
            <w:vAlign w:val="center"/>
          </w:tcPr>
          <w:p w14:paraId="4978A816">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48</w:t>
            </w:r>
          </w:p>
        </w:tc>
        <w:tc>
          <w:tcPr>
            <w:tcW w:w="454" w:type="dxa"/>
            <w:shd w:val="clear" w:color="auto" w:fill="auto"/>
            <w:vAlign w:val="center"/>
          </w:tcPr>
          <w:p w14:paraId="34D52870">
            <w:pPr>
              <w:widowControl/>
              <w:jc w:val="center"/>
              <w:textAlignment w:val="center"/>
              <w:rPr>
                <w:rFonts w:hint="default" w:cs="宋体" w:asciiTheme="minorEastAsia" w:hAnsiTheme="minorEastAsia" w:eastAsiaTheme="minorEastAsia"/>
                <w:w w:val="99"/>
                <w:sz w:val="18"/>
                <w:szCs w:val="18"/>
                <w:lang w:val="en-US" w:eastAsia="en-US"/>
              </w:rPr>
            </w:pPr>
            <w:r>
              <w:rPr>
                <w:rFonts w:hint="eastAsia" w:cs="宋体" w:asciiTheme="minorEastAsia" w:hAnsiTheme="minorEastAsia" w:eastAsiaTheme="minorEastAsia"/>
                <w:w w:val="99"/>
                <w:sz w:val="18"/>
                <w:szCs w:val="18"/>
                <w:lang w:val="en-US" w:bidi="zh-CN"/>
              </w:rPr>
              <w:t>16</w:t>
            </w:r>
          </w:p>
        </w:tc>
        <w:tc>
          <w:tcPr>
            <w:tcW w:w="454" w:type="dxa"/>
            <w:shd w:val="clear" w:color="auto" w:fill="auto"/>
            <w:vAlign w:val="center"/>
          </w:tcPr>
          <w:p w14:paraId="707D1F5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454" w:type="dxa"/>
            <w:shd w:val="clear" w:color="auto" w:fill="auto"/>
            <w:vAlign w:val="center"/>
          </w:tcPr>
          <w:p w14:paraId="0B2901FD">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w w:val="99"/>
                <w:sz w:val="18"/>
                <w:szCs w:val="18"/>
              </w:rPr>
              <w:t>2</w:t>
            </w:r>
          </w:p>
        </w:tc>
        <w:tc>
          <w:tcPr>
            <w:tcW w:w="680" w:type="dxa"/>
            <w:shd w:val="clear" w:color="auto" w:fill="auto"/>
            <w:vAlign w:val="center"/>
          </w:tcPr>
          <w:p w14:paraId="3F3DFA3D">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9046" w:type="dxa"/>
            <w:shd w:val="clear" w:color="auto" w:fill="auto"/>
            <w:vAlign w:val="center"/>
          </w:tcPr>
          <w:p w14:paraId="7FA95BED">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）知识目标</w:t>
            </w:r>
            <w:r>
              <w:rPr>
                <w:rFonts w:hint="eastAsia" w:ascii="宋体" w:hAnsi="宋体" w:eastAsia="宋体" w:cs="宋体"/>
                <w:b/>
                <w:bCs/>
                <w:sz w:val="18"/>
                <w:szCs w:val="18"/>
                <w:lang w:eastAsia="zh-CN"/>
              </w:rPr>
              <w:t>：</w:t>
            </w:r>
            <w:r>
              <w:rPr>
                <w:rFonts w:hint="eastAsia" w:ascii="宋体" w:hAnsi="宋体" w:eastAsia="宋体" w:cs="宋体"/>
                <w:sz w:val="18"/>
                <w:szCs w:val="18"/>
              </w:rPr>
              <w:t>了解会计概念、会计扩展职能、会计职业风险、内部控制的目标；熟悉会计基本职能、会计目标、会计计量属性；掌握会计基本假设和会计核算基础、会计信息质量要求、会计职业道德规范及其内容。掌握借贷记账法、会计凭证、会计账簿、会计报表、账务处理程序的概念，掌握财产清查的分类、方法和清查结果的账务处理；熟悉会计要素及其分类、会计计量属性、会计等式，熟悉初级会计资格考试中常用的会计科目；了解会计科目和账户的分类。熟悉流动资产的概念、流动资产的主要内容，掌握货币资金、交易性金融资产、应收及预付款项和核算，掌握存货发出计价的方法，掌握原材料、包装物、委托加工物资等的核算，掌握存货的清查、存货的减值；理解存货计划成本的核算。掌握长期股权投资的核算、投资性房地产的核算、在建工程和固定资产的核算、固定资产折旧方法和计提折旧以及固定资产减值的核算、无形资产的核算；熟悉非流动资产核算的主要内容、固定资产后续支出的核算、无形资产的内容。掌握短期借款、应付及应收账款、短期职工薪酬、增值税、消费税等税费的核算、了解其他职工薪酬、合同负债、长期借款、应付债券和长期应付款。掌握实收资本、资本公积和库存股的账务处理，盈余公积的计提、使用的账务处理，未分配利润的账务处理。掌握收入确认与计量的步骤、费用的内容及其分类、利润的构成内容。熟悉合同成本，熟悉特定交易的会计处理。掌握资产负债表的作用、结构原理、内容及其编制方法，利润表的作用、结构原理、内容及其编制方法，现金流量表的作用与内容，所有者权益变动表的作用与内容；熟悉财务报告概念及其内容体系，财务报表附注的内容，财务报告编制的基本要求；了解财务报告信息披露的要求。</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具有从事会计工作最基本的基础知识、基本核算和监督能力。能够完成从填制和审核凭证、设置和登记账簿、编制报表一系列会计工作流程。能够完各种流动资产的核算和管理。能够对非流动资产核算的主要内容、固定资产后续支出的核算、掌握无形资产的内容。能够进行职工薪酬业务的处理、增值税、消费税等其他税费处理。能够把握所有者权益的账务处理。能够进行费用内容及其分类、掌握利润的构成及内容。能够编制基本的财务报表。</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遵守财经法规制度，有良好的职业道德。具体表现为：坚持诚信、守法奉公，坚持准则、守责敬业，坚持学习、守正创新，工作作风踏实严谨、有较强的事业感、工作责任心，为人正派、处事公道。有热情、周到的服务态度。</w:t>
            </w:r>
          </w:p>
        </w:tc>
        <w:tc>
          <w:tcPr>
            <w:tcW w:w="6555" w:type="dxa"/>
            <w:vAlign w:val="center"/>
          </w:tcPr>
          <w:p w14:paraId="5B7CD279">
            <w:pPr>
              <w:spacing w:line="240" w:lineRule="exact"/>
              <w:rPr>
                <w:rFonts w:hint="default" w:asciiTheme="minorEastAsia" w:hAnsiTheme="minorEastAsia" w:eastAsiaTheme="minorEastAsia" w:cstheme="minorEastAsia"/>
                <w:sz w:val="21"/>
                <w:szCs w:val="21"/>
                <w:lang w:val="en-US" w:eastAsia="zh-CN"/>
              </w:rPr>
            </w:pPr>
            <w:r>
              <w:rPr>
                <w:rFonts w:hint="eastAsia" w:ascii="宋体" w:hAnsi="宋体" w:eastAsia="宋体" w:cs="宋体"/>
                <w:sz w:val="18"/>
                <w:szCs w:val="18"/>
                <w:lang w:val="en-US" w:eastAsia="zh-CN"/>
              </w:rPr>
              <w:t>(1）会计基础：会计要素与会计等式；会计科目与账户；借贷记账法；会计凭证与账簿；财产清查；账务处理程序；会计信息化。（2）流动资产的账务处理：货币资金的账务处理：库存现金、银行存款、其他货币资金；交易性金融资产的账务处理；应收及预付款项的账务处理：应收票据、应收账款、应收利息、应收股利、其他应收款、预付账款。（3）非流动资产的账务处理：固定资产、无形资产、长期待摊费用。（4）负债的账务处理：流动负债、非流动负债。（5）所有者权益的账务处理：实收资本；其他权益工具；资本公积；其他综合收益；留存收益。（6）收入费用和利润的账务处理。（7）财务报告。</w:t>
            </w:r>
          </w:p>
        </w:tc>
      </w:tr>
      <w:tr w14:paraId="5DE26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6A49DFC8">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2F1AF0EC">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经济法基础</w:t>
            </w:r>
          </w:p>
        </w:tc>
        <w:tc>
          <w:tcPr>
            <w:tcW w:w="454" w:type="dxa"/>
            <w:vAlign w:val="center"/>
          </w:tcPr>
          <w:p w14:paraId="37994B7A">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必修</w:t>
            </w:r>
          </w:p>
        </w:tc>
        <w:tc>
          <w:tcPr>
            <w:tcW w:w="454" w:type="dxa"/>
            <w:shd w:val="clear" w:color="auto" w:fill="auto"/>
            <w:vAlign w:val="center"/>
          </w:tcPr>
          <w:p w14:paraId="0EF15493">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A</w:t>
            </w:r>
          </w:p>
        </w:tc>
        <w:tc>
          <w:tcPr>
            <w:tcW w:w="454" w:type="dxa"/>
            <w:shd w:val="clear" w:color="auto" w:fill="auto"/>
            <w:vAlign w:val="center"/>
          </w:tcPr>
          <w:p w14:paraId="5B46494B">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color w:val="000000"/>
                <w:kern w:val="0"/>
                <w:sz w:val="18"/>
                <w:szCs w:val="18"/>
              </w:rPr>
              <w:t>4</w:t>
            </w:r>
          </w:p>
        </w:tc>
        <w:tc>
          <w:tcPr>
            <w:tcW w:w="454" w:type="dxa"/>
            <w:shd w:val="clear" w:color="auto" w:fill="auto"/>
            <w:vAlign w:val="center"/>
          </w:tcPr>
          <w:p w14:paraId="32769D6F">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color w:val="000000"/>
                <w:kern w:val="0"/>
                <w:sz w:val="18"/>
                <w:szCs w:val="18"/>
              </w:rPr>
              <w:t>64</w:t>
            </w:r>
          </w:p>
        </w:tc>
        <w:tc>
          <w:tcPr>
            <w:tcW w:w="454" w:type="dxa"/>
            <w:shd w:val="clear" w:color="auto" w:fill="auto"/>
            <w:vAlign w:val="center"/>
          </w:tcPr>
          <w:p w14:paraId="0B828757">
            <w:pPr>
              <w:widowControl/>
              <w:jc w:val="center"/>
              <w:textAlignment w:val="center"/>
              <w:rPr>
                <w:rFonts w:hint="default" w:cs="宋体" w:asciiTheme="minorEastAsia" w:hAnsiTheme="minorEastAsia" w:eastAsiaTheme="minorEastAsia"/>
                <w:w w:val="99"/>
                <w:sz w:val="18"/>
                <w:szCs w:val="18"/>
                <w:lang w:val="en-US" w:eastAsia="zh-CN"/>
              </w:rPr>
            </w:pPr>
            <w:r>
              <w:rPr>
                <w:rFonts w:hint="eastAsia" w:cs="宋体" w:asciiTheme="minorEastAsia" w:hAnsiTheme="minorEastAsia" w:eastAsiaTheme="minorEastAsia"/>
                <w:color w:val="000000"/>
                <w:kern w:val="0"/>
                <w:sz w:val="18"/>
                <w:szCs w:val="18"/>
                <w:lang w:val="en-US" w:eastAsia="zh-CN"/>
              </w:rPr>
              <w:t>60</w:t>
            </w:r>
          </w:p>
        </w:tc>
        <w:tc>
          <w:tcPr>
            <w:tcW w:w="454" w:type="dxa"/>
            <w:shd w:val="clear" w:color="auto" w:fill="auto"/>
            <w:vAlign w:val="center"/>
          </w:tcPr>
          <w:p w14:paraId="298ECA2E">
            <w:pPr>
              <w:widowControl/>
              <w:jc w:val="center"/>
              <w:textAlignment w:val="center"/>
              <w:rPr>
                <w:rFonts w:hint="eastAsia" w:cs="宋体" w:asciiTheme="minorEastAsia" w:hAnsiTheme="minorEastAsia" w:eastAsiaTheme="minorEastAsia"/>
                <w:w w:val="99"/>
                <w:sz w:val="18"/>
                <w:szCs w:val="18"/>
                <w:lang w:eastAsia="zh-CN"/>
              </w:rPr>
            </w:pPr>
            <w:r>
              <w:rPr>
                <w:rFonts w:hint="eastAsia" w:cs="宋体" w:asciiTheme="minorEastAsia" w:hAnsiTheme="minorEastAsia" w:eastAsiaTheme="minorEastAsia"/>
                <w:color w:val="000000"/>
                <w:kern w:val="0"/>
                <w:sz w:val="18"/>
                <w:szCs w:val="18"/>
                <w:lang w:val="en-US" w:eastAsia="zh-CN"/>
              </w:rPr>
              <w:t>4</w:t>
            </w:r>
          </w:p>
        </w:tc>
        <w:tc>
          <w:tcPr>
            <w:tcW w:w="454" w:type="dxa"/>
            <w:shd w:val="clear" w:color="auto" w:fill="auto"/>
            <w:vAlign w:val="center"/>
          </w:tcPr>
          <w:p w14:paraId="65EF1BAD">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454" w:type="dxa"/>
            <w:shd w:val="clear" w:color="auto" w:fill="auto"/>
            <w:vAlign w:val="center"/>
          </w:tcPr>
          <w:p w14:paraId="2105BB4E">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w w:val="99"/>
                <w:sz w:val="18"/>
                <w:szCs w:val="18"/>
                <w:lang w:val="en-US"/>
              </w:rPr>
              <w:t>2</w:t>
            </w:r>
          </w:p>
        </w:tc>
        <w:tc>
          <w:tcPr>
            <w:tcW w:w="680" w:type="dxa"/>
            <w:shd w:val="clear" w:color="auto" w:fill="auto"/>
            <w:vAlign w:val="center"/>
          </w:tcPr>
          <w:p w14:paraId="73EF51AF">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9046" w:type="dxa"/>
            <w:shd w:val="clear" w:color="auto" w:fill="auto"/>
            <w:vAlign w:val="center"/>
          </w:tcPr>
          <w:p w14:paraId="3F1DA92D">
            <w:pPr>
              <w:spacing w:line="240" w:lineRule="exact"/>
              <w:rPr>
                <w:rFonts w:hint="eastAsia" w:ascii="宋体" w:hAnsi="宋体" w:cs="宋体"/>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w:t>
            </w:r>
            <w:r>
              <w:rPr>
                <w:rFonts w:hint="eastAsia" w:ascii="宋体" w:hAnsi="宋体" w:cs="宋体"/>
                <w:b/>
                <w:sz w:val="18"/>
                <w:szCs w:val="18"/>
                <w:lang w:val="en-US" w:eastAsia="zh-CN"/>
              </w:rPr>
              <w:t>知识目标</w:t>
            </w:r>
            <w:r>
              <w:rPr>
                <w:rFonts w:hint="eastAsia" w:ascii="宋体" w:hAnsi="宋体" w:cs="宋体"/>
                <w:sz w:val="18"/>
                <w:szCs w:val="18"/>
              </w:rPr>
              <w:t>：了解经济法的基础理论知识；熟悉会计法律制度的基本规定；掌握支付结算法律制度的基本规定以及劳动合同和社会保险法律制度的基本规定。</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sz w:val="18"/>
                <w:szCs w:val="18"/>
              </w:rPr>
              <w:t>：运用会计法知识依法设置会计机构、配备会计人员、办理会计业务；运用票据法知识规范填写和使用票据；运用劳动合同法知识正确订立劳动合同，掌握劳动合同的内容和劳动合同的解除程序</w:t>
            </w:r>
            <w:r>
              <w:rPr>
                <w:rFonts w:hint="eastAsia" w:ascii="宋体" w:hAnsi="宋体"/>
                <w:bCs/>
                <w:sz w:val="18"/>
                <w:szCs w:val="18"/>
              </w:rPr>
              <w:t>。</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sz w:val="18"/>
                <w:szCs w:val="18"/>
              </w:rPr>
              <w:t>：培养遵纪守法意识、自主学习的习惯与能力；培养语言表达、文字写作能力，注重学生社会沟通能力和组织协调能力以及团队合作能力；具备运用经济法律、法规分析和解决问题的能力。</w:t>
            </w:r>
          </w:p>
          <w:p w14:paraId="6FEFEDE6">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c>
          <w:tcPr>
            <w:tcW w:w="6555" w:type="dxa"/>
            <w:vAlign w:val="center"/>
          </w:tcPr>
          <w:p w14:paraId="6286867D">
            <w:pPr>
              <w:spacing w:line="240" w:lineRule="exact"/>
              <w:rPr>
                <w:rFonts w:hint="eastAsia" w:eastAsia="宋体" w:asciiTheme="minorEastAsia" w:hAnsiTheme="minorEastAsia" w:cstheme="minorEastAsia"/>
                <w:sz w:val="18"/>
                <w:szCs w:val="18"/>
                <w:lang w:eastAsia="zh-CN"/>
              </w:rPr>
            </w:pPr>
            <w:r>
              <w:rPr>
                <w:rFonts w:hint="eastAsia" w:ascii="宋体" w:hAnsi="宋体" w:cs="宋体"/>
                <w:sz w:val="18"/>
                <w:szCs w:val="18"/>
              </w:rPr>
              <w:t>（1）经济法总论：法律基础、经济纠纷的解决途径及法律责任。（2）会计法律制度：会计核算与监督、会计机构和会计人员、会计职业道德及违反会计法律制度的法律责任。（3）支付结算法律制度：银行结算账户、结算方式和其他支付工具及结算纪律与法律责任。（4）劳动合同法律制度与社会保险法律制度。（5）业财融合下的经济法基础综合案例分析</w:t>
            </w:r>
            <w:r>
              <w:rPr>
                <w:rFonts w:hint="eastAsia" w:ascii="宋体" w:hAnsi="宋体" w:cs="宋体"/>
                <w:sz w:val="18"/>
                <w:szCs w:val="18"/>
                <w:lang w:eastAsia="zh-CN"/>
              </w:rPr>
              <w:t>。</w:t>
            </w:r>
          </w:p>
        </w:tc>
      </w:tr>
      <w:tr w14:paraId="68038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0" w:type="auto"/>
            <w:vMerge w:val="continue"/>
            <w:vAlign w:val="center"/>
          </w:tcPr>
          <w:p w14:paraId="517083EA">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0" w:type="auto"/>
            <w:shd w:val="clear" w:color="auto" w:fill="auto"/>
            <w:vAlign w:val="center"/>
          </w:tcPr>
          <w:p w14:paraId="64818764">
            <w:pPr>
              <w:jc w:val="center"/>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大数据分析与可视化技术</w:t>
            </w:r>
          </w:p>
        </w:tc>
        <w:tc>
          <w:tcPr>
            <w:tcW w:w="454" w:type="dxa"/>
            <w:vAlign w:val="center"/>
          </w:tcPr>
          <w:p w14:paraId="5833E9EF">
            <w:pPr>
              <w:jc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必修</w:t>
            </w:r>
          </w:p>
        </w:tc>
        <w:tc>
          <w:tcPr>
            <w:tcW w:w="454" w:type="dxa"/>
            <w:shd w:val="clear" w:color="auto" w:fill="auto"/>
            <w:vAlign w:val="center"/>
          </w:tcPr>
          <w:p w14:paraId="5AA25129">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C</w:t>
            </w:r>
          </w:p>
        </w:tc>
        <w:tc>
          <w:tcPr>
            <w:tcW w:w="454" w:type="dxa"/>
            <w:shd w:val="clear" w:color="auto" w:fill="auto"/>
            <w:vAlign w:val="center"/>
          </w:tcPr>
          <w:p w14:paraId="20107BD8">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3</w:t>
            </w:r>
          </w:p>
        </w:tc>
        <w:tc>
          <w:tcPr>
            <w:tcW w:w="454" w:type="dxa"/>
            <w:shd w:val="clear" w:color="auto" w:fill="auto"/>
            <w:vAlign w:val="center"/>
          </w:tcPr>
          <w:p w14:paraId="336BE12A">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48</w:t>
            </w:r>
          </w:p>
        </w:tc>
        <w:tc>
          <w:tcPr>
            <w:tcW w:w="454" w:type="dxa"/>
            <w:shd w:val="clear" w:color="auto" w:fill="auto"/>
            <w:vAlign w:val="center"/>
          </w:tcPr>
          <w:p w14:paraId="4CA9DDFA">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46</w:t>
            </w:r>
          </w:p>
        </w:tc>
        <w:tc>
          <w:tcPr>
            <w:tcW w:w="454" w:type="dxa"/>
            <w:shd w:val="clear" w:color="auto" w:fill="auto"/>
            <w:vAlign w:val="center"/>
          </w:tcPr>
          <w:p w14:paraId="2BB591DE">
            <w:pPr>
              <w:widowControl/>
              <w:jc w:val="center"/>
              <w:textAlignment w:val="center"/>
              <w:rPr>
                <w:rFonts w:hint="eastAsia" w:cs="宋体" w:asciiTheme="minorEastAsia" w:hAnsiTheme="minorEastAsia" w:eastAsiaTheme="minorEastAsia"/>
                <w:w w:val="99"/>
                <w:sz w:val="18"/>
                <w:szCs w:val="18"/>
                <w:lang w:eastAsia="en-US"/>
              </w:rPr>
            </w:pPr>
            <w:r>
              <w:rPr>
                <w:rFonts w:hint="eastAsia" w:cs="宋体" w:asciiTheme="minorEastAsia" w:hAnsiTheme="minorEastAsia" w:eastAsiaTheme="minorEastAsia"/>
                <w:w w:val="99"/>
                <w:sz w:val="18"/>
                <w:szCs w:val="18"/>
                <w:lang w:bidi="zh-CN"/>
              </w:rPr>
              <w:t>2</w:t>
            </w:r>
          </w:p>
        </w:tc>
        <w:tc>
          <w:tcPr>
            <w:tcW w:w="454" w:type="dxa"/>
            <w:shd w:val="clear" w:color="auto" w:fill="auto"/>
            <w:vAlign w:val="center"/>
          </w:tcPr>
          <w:p w14:paraId="6FA9C784">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454" w:type="dxa"/>
            <w:shd w:val="clear" w:color="auto" w:fill="auto"/>
            <w:vAlign w:val="center"/>
          </w:tcPr>
          <w:p w14:paraId="5F57F2EF">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w w:val="99"/>
                <w:sz w:val="18"/>
                <w:szCs w:val="18"/>
                <w:lang w:val="en-US"/>
              </w:rPr>
              <w:t>2</w:t>
            </w:r>
          </w:p>
        </w:tc>
        <w:tc>
          <w:tcPr>
            <w:tcW w:w="680" w:type="dxa"/>
            <w:shd w:val="clear" w:color="auto" w:fill="auto"/>
            <w:vAlign w:val="center"/>
          </w:tcPr>
          <w:p w14:paraId="4C0FAEE3">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9046" w:type="dxa"/>
            <w:shd w:val="clear" w:color="auto" w:fill="auto"/>
            <w:vAlign w:val="center"/>
          </w:tcPr>
          <w:p w14:paraId="10B5222B">
            <w:pPr>
              <w:spacing w:line="240" w:lineRule="exact"/>
              <w:rPr>
                <w:rFonts w:hint="eastAsia" w:ascii="宋体" w:hAnsi="宋体" w:cs="宋体"/>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）知识</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了解数据采集与可视化技术，理解数据采集与可视化技术基本原理，掌握数据采集与可视化技术核心概念和基础应用。</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具备采集企业经营数据、生产数据、管理数据以及对这些数据进行处理和可视化技术运行能力，具备大数据数据挖掘基础能力。</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培养养成善于动脑，勤于思考的习惯，具有良好的团队协作精神与交流沟通能力，具备创新意识和创业精神，具有诚实守信的职业道德和敬业精神，具有良好的的学习能力与持续发展的能力。</w:t>
            </w:r>
          </w:p>
          <w:p w14:paraId="0FEC8E16">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c>
          <w:tcPr>
            <w:tcW w:w="6555" w:type="dxa"/>
            <w:vAlign w:val="center"/>
          </w:tcPr>
          <w:p w14:paraId="011399E5">
            <w:pPr>
              <w:numPr>
                <w:ilvl w:val="0"/>
                <w:numId w:val="0"/>
              </w:numPr>
              <w:spacing w:line="240" w:lineRule="exact"/>
              <w:jc w:val="left"/>
              <w:rPr>
                <w:rFonts w:hint="eastAsia" w:eastAsia="宋体" w:asciiTheme="minorEastAsia" w:hAnsiTheme="minorEastAsia" w:cstheme="minorEastAsia"/>
                <w:sz w:val="18"/>
                <w:szCs w:val="18"/>
                <w:lang w:eastAsia="zh-CN"/>
              </w:rPr>
            </w:pPr>
            <w:r>
              <w:rPr>
                <w:rFonts w:hint="eastAsia" w:ascii="宋体" w:hAnsi="宋体" w:eastAsia="宋体" w:cs="Times New Roman"/>
                <w:kern w:val="2"/>
                <w:sz w:val="18"/>
                <w:szCs w:val="18"/>
                <w:lang w:val="en-US" w:eastAsia="zh-CN" w:bidi="ar-SA"/>
              </w:rPr>
              <w:t>（1）</w:t>
            </w:r>
            <w:r>
              <w:rPr>
                <w:rFonts w:hint="eastAsia" w:ascii="宋体" w:hAnsi="宋体" w:eastAsia="宋体" w:cs="Times New Roman"/>
                <w:sz w:val="18"/>
                <w:szCs w:val="18"/>
              </w:rPr>
              <w:t>企业经营数据采集技术与应用。</w:t>
            </w:r>
            <w:r>
              <w:rPr>
                <w:rFonts w:hint="eastAsia" w:asciiTheme="minorEastAsia" w:hAnsiTheme="minorEastAsia" w:eastAsiaTheme="minorEastAsia" w:cstheme="minorEastAsia"/>
                <w:kern w:val="2"/>
                <w:sz w:val="18"/>
                <w:szCs w:val="18"/>
                <w:lang w:val="en-US" w:eastAsia="zh-CN" w:bidi="ar-SA"/>
              </w:rPr>
              <w:t>（2）</w:t>
            </w:r>
            <w:r>
              <w:rPr>
                <w:rFonts w:hint="eastAsia" w:ascii="宋体" w:hAnsi="宋体" w:eastAsia="宋体" w:cs="Times New Roman"/>
                <w:sz w:val="18"/>
                <w:szCs w:val="18"/>
              </w:rPr>
              <w:t>企业经营数据处理技术及应用。</w:t>
            </w:r>
            <w:r>
              <w:rPr>
                <w:rFonts w:hint="eastAsia" w:asciiTheme="minorEastAsia" w:hAnsiTheme="minorEastAsia" w:eastAsiaTheme="minorEastAsia" w:cstheme="minorEastAsia"/>
                <w:kern w:val="2"/>
                <w:sz w:val="18"/>
                <w:szCs w:val="18"/>
                <w:lang w:val="en-US" w:eastAsia="zh-CN" w:bidi="ar-SA"/>
              </w:rPr>
              <w:t>（3）</w:t>
            </w:r>
            <w:r>
              <w:rPr>
                <w:rFonts w:hint="eastAsia" w:ascii="宋体" w:hAnsi="宋体" w:eastAsia="宋体" w:cs="Times New Roman"/>
                <w:sz w:val="18"/>
                <w:szCs w:val="18"/>
              </w:rPr>
              <w:t>企业经营数据可视化技术及应用。（4）业财融合下的数据采集与可视化技术综合案例分析</w:t>
            </w:r>
            <w:r>
              <w:rPr>
                <w:rFonts w:hint="eastAsia" w:ascii="宋体" w:hAnsi="宋体" w:eastAsia="宋体" w:cs="Times New Roman"/>
                <w:sz w:val="18"/>
                <w:szCs w:val="18"/>
                <w:lang w:eastAsia="zh-CN"/>
              </w:rPr>
              <w:t>。</w:t>
            </w:r>
          </w:p>
        </w:tc>
      </w:tr>
    </w:tbl>
    <w:p w14:paraId="38FE716B">
      <w:pPr>
        <w:sectPr>
          <w:pgSz w:w="23811" w:h="16838" w:orient="landscape"/>
          <w:pgMar w:top="1701" w:right="1417" w:bottom="1701" w:left="1417" w:header="851" w:footer="992" w:gutter="0"/>
          <w:cols w:space="0" w:num="1"/>
          <w:docGrid w:type="lines" w:linePitch="312" w:charSpace="0"/>
        </w:sect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4"/>
        <w:gridCol w:w="1108"/>
        <w:gridCol w:w="453"/>
        <w:gridCol w:w="453"/>
        <w:gridCol w:w="453"/>
        <w:gridCol w:w="453"/>
        <w:gridCol w:w="453"/>
        <w:gridCol w:w="453"/>
        <w:gridCol w:w="453"/>
        <w:gridCol w:w="454"/>
        <w:gridCol w:w="681"/>
        <w:gridCol w:w="9963"/>
        <w:gridCol w:w="5106"/>
      </w:tblGrid>
      <w:tr w14:paraId="4A42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20" w:type="pct"/>
            <w:tcBorders>
              <w:top w:val="single" w:color="auto" w:sz="4" w:space="0"/>
              <w:left w:val="single" w:color="auto" w:sz="4" w:space="0"/>
              <w:bottom w:val="single" w:color="auto" w:sz="4" w:space="0"/>
              <w:right w:val="single" w:color="auto" w:sz="4" w:space="0"/>
            </w:tcBorders>
            <w:vAlign w:val="center"/>
          </w:tcPr>
          <w:p w14:paraId="59401B88">
            <w:pPr>
              <w:widowControl/>
              <w:spacing w:line="240" w:lineRule="exact"/>
              <w:jc w:val="center"/>
              <w:rPr>
                <w:rFonts w:hint="eastAsia" w:ascii="宋体" w:hAnsi="宋体" w:cs="宋体"/>
                <w:b/>
                <w:bCs/>
                <w:color w:val="000000"/>
                <w:kern w:val="0"/>
                <w:sz w:val="18"/>
                <w:szCs w:val="18"/>
              </w:rPr>
            </w:pPr>
            <w:bookmarkStart w:id="1" w:name="_Hlk201255627"/>
            <w:r>
              <w:rPr>
                <w:rFonts w:hint="eastAsia" w:ascii="宋体" w:hAnsi="宋体" w:cs="宋体"/>
                <w:b/>
                <w:bCs/>
                <w:color w:val="000000"/>
                <w:kern w:val="0"/>
                <w:sz w:val="18"/>
                <w:szCs w:val="18"/>
              </w:rPr>
              <w:t>类别</w:t>
            </w:r>
          </w:p>
        </w:tc>
        <w:tc>
          <w:tcPr>
            <w:tcW w:w="264" w:type="pct"/>
            <w:tcBorders>
              <w:top w:val="single" w:color="auto" w:sz="4" w:space="0"/>
              <w:left w:val="single" w:color="auto" w:sz="4" w:space="0"/>
              <w:bottom w:val="single" w:color="auto" w:sz="4" w:space="0"/>
              <w:right w:val="single" w:color="auto" w:sz="4" w:space="0"/>
            </w:tcBorders>
            <w:shd w:val="clear" w:color="auto" w:fill="auto"/>
            <w:vAlign w:val="center"/>
          </w:tcPr>
          <w:p w14:paraId="0B6D12DE">
            <w:pPr>
              <w:jc w:val="center"/>
              <w:rPr>
                <w:rFonts w:hint="eastAsia" w:asciiTheme="minorEastAsia" w:hAnsiTheme="minorEastAsia" w:eastAsiaTheme="minorEastAsia"/>
                <w:b/>
                <w:bCs/>
                <w:sz w:val="18"/>
                <w:szCs w:val="18"/>
              </w:rPr>
            </w:pPr>
            <w:r>
              <w:rPr>
                <w:rFonts w:hint="eastAsia" w:asciiTheme="minorEastAsia" w:hAnsiTheme="minorEastAsia" w:eastAsiaTheme="minorEastAsia"/>
                <w:b/>
                <w:bCs/>
                <w:sz w:val="18"/>
                <w:szCs w:val="18"/>
              </w:rPr>
              <w:t>课程名称</w:t>
            </w:r>
          </w:p>
        </w:tc>
        <w:tc>
          <w:tcPr>
            <w:tcW w:w="108" w:type="pct"/>
            <w:tcBorders>
              <w:top w:val="single" w:color="auto" w:sz="4" w:space="0"/>
              <w:left w:val="single" w:color="auto" w:sz="4" w:space="0"/>
              <w:bottom w:val="single" w:color="auto" w:sz="4" w:space="0"/>
              <w:right w:val="single" w:color="auto" w:sz="4" w:space="0"/>
            </w:tcBorders>
            <w:vAlign w:val="center"/>
          </w:tcPr>
          <w:p w14:paraId="727975AF">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w:t>
            </w:r>
          </w:p>
          <w:p w14:paraId="38A4ACC4">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类型</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2084AE27">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 类别</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1D19C492">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学分</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0096C393">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总学时</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32D98A2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理论</w:t>
            </w:r>
          </w:p>
          <w:p w14:paraId="5E9623BB">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40E5A44C">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实践</w:t>
            </w:r>
          </w:p>
          <w:p w14:paraId="44DCD43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66C655A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考核</w:t>
            </w:r>
          </w:p>
          <w:p w14:paraId="61D1351F">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方式</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31EFC25A">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开设</w:t>
            </w:r>
          </w:p>
          <w:p w14:paraId="55FFB33D">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学期</w:t>
            </w:r>
          </w:p>
        </w:tc>
        <w:tc>
          <w:tcPr>
            <w:tcW w:w="162" w:type="pct"/>
            <w:tcBorders>
              <w:top w:val="single" w:color="auto" w:sz="4" w:space="0"/>
              <w:left w:val="single" w:color="auto" w:sz="4" w:space="0"/>
              <w:bottom w:val="single" w:color="auto" w:sz="4" w:space="0"/>
              <w:right w:val="single" w:color="auto" w:sz="4" w:space="0"/>
            </w:tcBorders>
            <w:shd w:val="clear" w:color="auto" w:fill="auto"/>
            <w:vAlign w:val="center"/>
          </w:tcPr>
          <w:p w14:paraId="4D8BFC02">
            <w:pPr>
              <w:pStyle w:val="24"/>
              <w:spacing w:line="240" w:lineRule="auto"/>
              <w:ind w:left="0" w:firstLine="0" w:firstLineChars="0"/>
              <w:jc w:val="center"/>
              <w:rPr>
                <w:rFonts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授课</w:t>
            </w:r>
          </w:p>
          <w:p w14:paraId="0E4FB232">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主体</w:t>
            </w:r>
          </w:p>
        </w:tc>
        <w:tc>
          <w:tcPr>
            <w:tcW w:w="2373" w:type="pct"/>
            <w:tcBorders>
              <w:top w:val="single" w:color="auto" w:sz="4" w:space="0"/>
              <w:left w:val="single" w:color="auto" w:sz="4" w:space="0"/>
              <w:bottom w:val="single" w:color="auto" w:sz="4" w:space="0"/>
              <w:right w:val="single" w:color="auto" w:sz="4" w:space="0"/>
            </w:tcBorders>
            <w:shd w:val="clear" w:color="auto" w:fill="auto"/>
            <w:vAlign w:val="center"/>
          </w:tcPr>
          <w:p w14:paraId="2273D6FF">
            <w:pPr>
              <w:spacing w:line="200" w:lineRule="exact"/>
              <w:jc w:val="center"/>
              <w:rPr>
                <w:rFonts w:hint="eastAsia" w:ascii="宋体" w:hAnsi="宋体"/>
                <w:b/>
                <w:bCs/>
                <w:sz w:val="18"/>
                <w:szCs w:val="18"/>
              </w:rPr>
            </w:pPr>
            <w:r>
              <w:rPr>
                <w:rFonts w:hint="eastAsia" w:ascii="宋体" w:hAnsi="宋体"/>
                <w:b/>
                <w:bCs/>
                <w:sz w:val="18"/>
                <w:szCs w:val="18"/>
              </w:rPr>
              <w:t>课程目标</w:t>
            </w:r>
          </w:p>
        </w:tc>
        <w:tc>
          <w:tcPr>
            <w:tcW w:w="1216" w:type="pct"/>
            <w:tcBorders>
              <w:top w:val="single" w:color="auto" w:sz="4" w:space="0"/>
              <w:left w:val="single" w:color="auto" w:sz="4" w:space="0"/>
              <w:bottom w:val="single" w:color="auto" w:sz="4" w:space="0"/>
              <w:right w:val="single" w:color="auto" w:sz="4" w:space="0"/>
            </w:tcBorders>
            <w:vAlign w:val="center"/>
          </w:tcPr>
          <w:p w14:paraId="510BBC44">
            <w:pPr>
              <w:spacing w:line="200" w:lineRule="exact"/>
              <w:jc w:val="center"/>
              <w:rPr>
                <w:rFonts w:hint="eastAsia" w:ascii="宋体" w:hAnsi="宋体"/>
                <w:b/>
                <w:bCs/>
                <w:sz w:val="18"/>
                <w:szCs w:val="18"/>
              </w:rPr>
            </w:pPr>
            <w:r>
              <w:rPr>
                <w:rFonts w:hint="eastAsia" w:ascii="宋体" w:hAnsi="宋体"/>
                <w:b/>
                <w:bCs/>
                <w:sz w:val="18"/>
                <w:szCs w:val="18"/>
              </w:rPr>
              <w:t>主要教学内容</w:t>
            </w:r>
          </w:p>
        </w:tc>
      </w:tr>
      <w:bookmarkEnd w:id="1"/>
      <w:tr w14:paraId="41D8B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restart"/>
            <w:vAlign w:val="center"/>
          </w:tcPr>
          <w:p w14:paraId="6A50E7A4">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专业核心</w:t>
            </w:r>
          </w:p>
          <w:p w14:paraId="3CD36E5F">
            <w:pPr>
              <w:widowControl/>
              <w:spacing w:line="240" w:lineRule="exact"/>
              <w:jc w:val="center"/>
              <w:rPr>
                <w:rFonts w:hint="eastAsia" w:ascii="宋体" w:hAnsi="宋体" w:cs="宋体"/>
                <w:color w:val="000000"/>
                <w:kern w:val="0"/>
                <w:sz w:val="18"/>
                <w:szCs w:val="18"/>
              </w:rPr>
            </w:pPr>
            <w:r>
              <w:rPr>
                <w:rFonts w:hint="eastAsia" w:ascii="宋体" w:hAnsi="宋体" w:cs="宋体"/>
                <w:color w:val="000000"/>
                <w:kern w:val="0"/>
                <w:sz w:val="18"/>
                <w:szCs w:val="18"/>
              </w:rPr>
              <w:t>课程</w:t>
            </w:r>
          </w:p>
        </w:tc>
        <w:tc>
          <w:tcPr>
            <w:tcW w:w="264" w:type="pct"/>
            <w:shd w:val="clear" w:color="auto" w:fill="auto"/>
            <w:vAlign w:val="center"/>
          </w:tcPr>
          <w:p w14:paraId="163E0CA7">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业财融合采购管理</w:t>
            </w:r>
          </w:p>
        </w:tc>
        <w:tc>
          <w:tcPr>
            <w:tcW w:w="108" w:type="pct"/>
            <w:vAlign w:val="center"/>
          </w:tcPr>
          <w:p w14:paraId="657829D9">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必修</w:t>
            </w:r>
          </w:p>
        </w:tc>
        <w:tc>
          <w:tcPr>
            <w:tcW w:w="108" w:type="pct"/>
            <w:shd w:val="clear" w:color="auto" w:fill="auto"/>
            <w:vAlign w:val="center"/>
          </w:tcPr>
          <w:p w14:paraId="4DEA591A">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108" w:type="pct"/>
            <w:shd w:val="clear" w:color="auto" w:fill="auto"/>
            <w:vAlign w:val="center"/>
          </w:tcPr>
          <w:p w14:paraId="32690A2C">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4</w:t>
            </w:r>
          </w:p>
        </w:tc>
        <w:tc>
          <w:tcPr>
            <w:tcW w:w="108" w:type="pct"/>
            <w:shd w:val="clear" w:color="auto" w:fill="auto"/>
            <w:vAlign w:val="center"/>
          </w:tcPr>
          <w:p w14:paraId="02B7F7A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8" w:type="pct"/>
            <w:shd w:val="clear" w:color="auto" w:fill="auto"/>
            <w:vAlign w:val="center"/>
          </w:tcPr>
          <w:p w14:paraId="66A487F3">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51005DA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1615C17D">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8" w:type="pct"/>
            <w:shd w:val="clear" w:color="auto" w:fill="auto"/>
            <w:vAlign w:val="center"/>
          </w:tcPr>
          <w:p w14:paraId="5BAC8883">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3</w:t>
            </w:r>
          </w:p>
        </w:tc>
        <w:tc>
          <w:tcPr>
            <w:tcW w:w="162" w:type="pct"/>
            <w:shd w:val="clear" w:color="auto" w:fill="auto"/>
            <w:vAlign w:val="center"/>
          </w:tcPr>
          <w:p w14:paraId="04FDFAF6">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373" w:type="pct"/>
            <w:shd w:val="clear" w:color="auto" w:fill="auto"/>
            <w:vAlign w:val="center"/>
          </w:tcPr>
          <w:p w14:paraId="1E915C07">
            <w:pPr>
              <w:spacing w:line="200" w:lineRule="exact"/>
              <w:jc w:val="left"/>
              <w:rPr>
                <w:rFonts w:hint="eastAsia" w:ascii="宋体" w:hAnsi="宋体"/>
                <w:sz w:val="18"/>
                <w:szCs w:val="18"/>
              </w:rPr>
            </w:pPr>
            <w:r>
              <w:rPr>
                <w:rFonts w:hint="eastAsia" w:ascii="宋体" w:hAnsi="宋体"/>
                <w:b/>
                <w:bCs/>
                <w:sz w:val="18"/>
                <w:szCs w:val="18"/>
                <w:lang w:val="en-US" w:eastAsia="zh-CN"/>
              </w:rPr>
              <w:t>1.</w:t>
            </w:r>
            <w:r>
              <w:rPr>
                <w:rFonts w:hint="eastAsia" w:ascii="宋体" w:hAnsi="宋体"/>
                <w:b/>
                <w:bCs/>
                <w:sz w:val="18"/>
                <w:szCs w:val="18"/>
              </w:rPr>
              <w:t>知识目标:</w:t>
            </w:r>
            <w:r>
              <w:rPr>
                <w:rFonts w:hint="eastAsia" w:ascii="宋体" w:hAnsi="宋体"/>
                <w:sz w:val="18"/>
                <w:szCs w:val="18"/>
              </w:rPr>
              <w:t>了解采购需求分析内容，掌握采购需求分析常用方法；理解采购计划和采购预算的作用，掌握年度采购计划、年度采购预算、月度采购计划制定的流程与方法；掌握安全库存量、保险储备量的含义和计算；区分不同的采购类型和采购方式，掌握不同采购类型和采购方式下的业务流程和风险控制措施；掌握《招投标法》和《政府采购法》的重要条款；熟练各项财务指标的计算；区分要约和要约邀请，熟练掌握目标成本法的计算和运用；理解一般验收入库、进口验收入库、委托加工验收入库的验收标准和验收流程；掌握关税、增值税和消费税等的计算，熟悉进口商品的税收和监管政策；了解入库核算的原理和流程，掌握支付结算的种类和方式，能运用不同支付结算方式进行入库结算；理解采购成本的构成，熟练掌握实际成本法和计划成本法下的科目设置，材料入库和支付的账务处理；了解采购绩效管理的基本概念、原理和方法，能运用绩效考核对企业进行管理；了解采购业务流程、关键节点以及财税政策对采购绩效的影响，能运用财税政策达到企业的绩效考核目标。</w:t>
            </w:r>
          </w:p>
          <w:p w14:paraId="7014FC6A">
            <w:pPr>
              <w:spacing w:line="200" w:lineRule="exact"/>
              <w:jc w:val="left"/>
              <w:rPr>
                <w:rFonts w:hint="eastAsia" w:ascii="宋体" w:hAnsi="宋体"/>
                <w:sz w:val="18"/>
                <w:szCs w:val="18"/>
              </w:rPr>
            </w:pPr>
            <w:r>
              <w:rPr>
                <w:rFonts w:hint="eastAsia" w:ascii="宋体" w:hAnsi="宋体"/>
                <w:b/>
                <w:bCs/>
                <w:sz w:val="18"/>
                <w:szCs w:val="18"/>
                <w:lang w:val="en-US" w:eastAsia="zh-CN"/>
              </w:rPr>
              <w:t>2</w:t>
            </w:r>
            <w:r>
              <w:rPr>
                <w:rFonts w:hint="eastAsia" w:ascii="宋体" w:hAnsi="宋体"/>
                <w:b/>
                <w:bCs/>
                <w:sz w:val="18"/>
                <w:szCs w:val="18"/>
              </w:rPr>
              <w:t>.能力目标：</w:t>
            </w:r>
            <w:r>
              <w:rPr>
                <w:rFonts w:hint="eastAsia" w:ascii="宋体" w:hAnsi="宋体"/>
                <w:sz w:val="18"/>
                <w:szCs w:val="18"/>
              </w:rPr>
              <w:t>能够准确识别采购需求，制定采购计划和采购预算；能够在不同情况下迅速判别合适的采购方式，并根据需要适时调整采购方式；能够根据数据驱动分析，研判采购业务的主要风险点并进行风险控制；能够熟练运用Python在平台上进行数据抓取；能够熟练运用Excel进行性价比单的制作；能够掌握如何进行供应商的选择并进行决策应用；能够根据采购合同和入库要求，独立完成各种方式的入库操作；能够熟练运用相关工具进行入库数据的记录与整理；能熟练运用电子信息系统，如利用专门的供应商管理系统或其他财务管理软件来自动化核对账单的生成、发送、接收和核对等流程；能够熟练应用实际成本法和计划成本法进行采购业务入库和支付的核算；能够熟练运用数据进行供应商考核和采购绩效评价，做出科学的决策。</w:t>
            </w:r>
            <w:r>
              <w:rPr>
                <w:rFonts w:hint="eastAsia" w:ascii="宋体" w:hAnsi="宋体"/>
                <w:b/>
                <w:bCs/>
                <w:sz w:val="18"/>
                <w:szCs w:val="18"/>
                <w:lang w:val="en-US" w:eastAsia="zh-CN"/>
              </w:rPr>
              <w:t>3</w:t>
            </w:r>
            <w:r>
              <w:rPr>
                <w:rFonts w:hint="eastAsia" w:ascii="宋体" w:hAnsi="宋体"/>
                <w:b/>
                <w:bCs/>
                <w:sz w:val="18"/>
                <w:szCs w:val="18"/>
              </w:rPr>
              <w:t>.素质目标：</w:t>
            </w:r>
            <w:r>
              <w:rPr>
                <w:rFonts w:hint="eastAsia" w:ascii="宋体" w:hAnsi="宋体"/>
                <w:sz w:val="18"/>
                <w:szCs w:val="18"/>
              </w:rPr>
              <w:t>具备风控意识和价值创造思维，从采购计划到采购执行以及绩效考核，全流程为企业提供价值创造；具备独立思考和批判性思维，提高解决实际问题的能力；具备良好的沟通能力和团队协作能力，与企业内部其他部门以及政府部门等良好沟通。</w:t>
            </w:r>
          </w:p>
          <w:p w14:paraId="54A08EE9">
            <w:pPr>
              <w:spacing w:line="200" w:lineRule="exact"/>
              <w:jc w:val="left"/>
              <w:rPr>
                <w:rFonts w:hint="eastAsia" w:ascii="宋体" w:hAnsi="宋体"/>
                <w:sz w:val="18"/>
                <w:szCs w:val="18"/>
              </w:rPr>
            </w:pPr>
          </w:p>
        </w:tc>
        <w:tc>
          <w:tcPr>
            <w:tcW w:w="1216" w:type="pct"/>
            <w:vAlign w:val="center"/>
          </w:tcPr>
          <w:p w14:paraId="38DFA650">
            <w:pPr>
              <w:spacing w:line="240" w:lineRule="exact"/>
              <w:jc w:val="left"/>
              <w:rPr>
                <w:rFonts w:hint="eastAsia" w:ascii="宋体" w:hAnsi="宋体" w:eastAsia="宋体" w:cs="Times New Roman"/>
                <w:sz w:val="18"/>
                <w:szCs w:val="18"/>
                <w:lang w:eastAsia="zh-CN"/>
              </w:rPr>
            </w:pPr>
            <w:r>
              <w:rPr>
                <w:rFonts w:hint="eastAsia" w:ascii="宋体" w:hAnsi="宋体"/>
                <w:sz w:val="18"/>
                <w:szCs w:val="18"/>
              </w:rPr>
              <w:t>（</w:t>
            </w:r>
            <w:r>
              <w:rPr>
                <w:rFonts w:hint="eastAsia" w:ascii="宋体" w:hAnsi="宋体" w:eastAsia="宋体" w:cs="Times New Roman"/>
                <w:sz w:val="18"/>
                <w:szCs w:val="18"/>
              </w:rPr>
              <w:t>1）采购计划与预算：预测年度采购需求、编制年度采购计划、编制年度采购预算、制定月度采购计划</w:t>
            </w:r>
            <w:r>
              <w:rPr>
                <w:rFonts w:hint="eastAsia" w:ascii="宋体" w:hAnsi="宋体" w:eastAsia="宋体" w:cs="Times New Roman"/>
                <w:sz w:val="18"/>
                <w:szCs w:val="18"/>
                <w:lang w:eastAsia="zh-CN"/>
              </w:rPr>
              <w:t>。</w:t>
            </w:r>
            <w:r>
              <w:rPr>
                <w:rFonts w:hint="eastAsia" w:ascii="宋体" w:hAnsi="宋体" w:eastAsia="宋体" w:cs="Times New Roman"/>
                <w:sz w:val="18"/>
                <w:szCs w:val="18"/>
              </w:rPr>
              <w:t>（2）采购执行与控制：供应商准入、采购类型、采购方式</w:t>
            </w:r>
            <w:r>
              <w:rPr>
                <w:rFonts w:hint="eastAsia" w:ascii="宋体" w:hAnsi="宋体" w:eastAsia="宋体" w:cs="Times New Roman"/>
                <w:sz w:val="18"/>
                <w:szCs w:val="18"/>
                <w:lang w:eastAsia="zh-CN"/>
              </w:rPr>
              <w:t>。</w:t>
            </w:r>
            <w:r>
              <w:rPr>
                <w:rFonts w:hint="eastAsia" w:ascii="宋体" w:hAnsi="宋体" w:eastAsia="宋体" w:cs="Times New Roman"/>
                <w:sz w:val="18"/>
                <w:szCs w:val="18"/>
              </w:rPr>
              <w:t>（3）采购入库与结算：一般验收入库、进口验收入库、委托加工验收入库、办公设备和耗材验收入库、退货、支付结算、供应商对账</w:t>
            </w:r>
            <w:r>
              <w:rPr>
                <w:rFonts w:hint="eastAsia" w:ascii="宋体" w:hAnsi="宋体" w:eastAsia="宋体" w:cs="Times New Roman"/>
                <w:sz w:val="18"/>
                <w:szCs w:val="18"/>
                <w:lang w:eastAsia="zh-CN"/>
              </w:rPr>
              <w:t>。</w:t>
            </w:r>
            <w:r>
              <w:rPr>
                <w:rFonts w:hint="eastAsia" w:ascii="宋体" w:hAnsi="宋体" w:eastAsia="宋体" w:cs="Times New Roman"/>
                <w:sz w:val="18"/>
                <w:szCs w:val="18"/>
              </w:rPr>
              <w:t>（4）采购业务核算：入库核算、支付核算</w:t>
            </w:r>
            <w:r>
              <w:rPr>
                <w:rFonts w:hint="eastAsia" w:ascii="宋体" w:hAnsi="宋体" w:eastAsia="宋体" w:cs="Times New Roman"/>
                <w:sz w:val="18"/>
                <w:szCs w:val="18"/>
                <w:lang w:eastAsia="zh-CN"/>
              </w:rPr>
              <w:t>。</w:t>
            </w:r>
            <w:r>
              <w:rPr>
                <w:rFonts w:hint="eastAsia" w:ascii="宋体" w:hAnsi="宋体" w:eastAsia="宋体" w:cs="Times New Roman"/>
                <w:sz w:val="18"/>
                <w:szCs w:val="18"/>
              </w:rPr>
              <w:t>（5）供应商考核与采购绩效评价：供应商考核、采购绩效评价（6）业财融合采购管理综合案例分析</w:t>
            </w:r>
            <w:r>
              <w:rPr>
                <w:rFonts w:hint="eastAsia" w:ascii="宋体" w:hAnsi="宋体" w:eastAsia="宋体" w:cs="Times New Roman"/>
                <w:sz w:val="18"/>
                <w:szCs w:val="18"/>
                <w:lang w:eastAsia="zh-CN"/>
              </w:rPr>
              <w:t>。</w:t>
            </w:r>
          </w:p>
          <w:p w14:paraId="76FC2307">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r>
      <w:tr w14:paraId="3AEE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31ACA139">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4" w:type="pct"/>
            <w:shd w:val="clear" w:color="auto" w:fill="auto"/>
            <w:vAlign w:val="center"/>
          </w:tcPr>
          <w:p w14:paraId="46B1E1EC">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业财融合生产管理</w:t>
            </w:r>
          </w:p>
        </w:tc>
        <w:tc>
          <w:tcPr>
            <w:tcW w:w="108" w:type="pct"/>
            <w:vAlign w:val="center"/>
          </w:tcPr>
          <w:p w14:paraId="3134E8E3">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必修</w:t>
            </w:r>
          </w:p>
        </w:tc>
        <w:tc>
          <w:tcPr>
            <w:tcW w:w="108" w:type="pct"/>
            <w:shd w:val="clear" w:color="auto" w:fill="auto"/>
            <w:vAlign w:val="center"/>
          </w:tcPr>
          <w:p w14:paraId="55D7113F">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8" w:type="pct"/>
            <w:shd w:val="clear" w:color="auto" w:fill="auto"/>
            <w:vAlign w:val="center"/>
          </w:tcPr>
          <w:p w14:paraId="36BD9459">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4</w:t>
            </w:r>
          </w:p>
        </w:tc>
        <w:tc>
          <w:tcPr>
            <w:tcW w:w="108" w:type="pct"/>
            <w:shd w:val="clear" w:color="auto" w:fill="auto"/>
            <w:vAlign w:val="center"/>
          </w:tcPr>
          <w:p w14:paraId="21F0FAD8">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64</w:t>
            </w:r>
          </w:p>
        </w:tc>
        <w:tc>
          <w:tcPr>
            <w:tcW w:w="108" w:type="pct"/>
            <w:shd w:val="clear" w:color="auto" w:fill="auto"/>
            <w:vAlign w:val="center"/>
          </w:tcPr>
          <w:p w14:paraId="34D3E226">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3F978FB1">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34704282">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8" w:type="pct"/>
            <w:shd w:val="clear" w:color="auto" w:fill="auto"/>
            <w:vAlign w:val="center"/>
          </w:tcPr>
          <w:p w14:paraId="51B43A76">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3</w:t>
            </w:r>
          </w:p>
        </w:tc>
        <w:tc>
          <w:tcPr>
            <w:tcW w:w="162" w:type="pct"/>
            <w:shd w:val="clear" w:color="auto" w:fill="auto"/>
            <w:vAlign w:val="center"/>
          </w:tcPr>
          <w:p w14:paraId="0A33946A">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73" w:type="pct"/>
            <w:shd w:val="clear" w:color="auto" w:fill="auto"/>
            <w:vAlign w:val="center"/>
          </w:tcPr>
          <w:p w14:paraId="77D16E49">
            <w:pPr>
              <w:numPr>
                <w:ilvl w:val="0"/>
                <w:numId w:val="0"/>
              </w:numPr>
              <w:spacing w:line="240" w:lineRule="exact"/>
              <w:jc w:val="left"/>
              <w:rPr>
                <w:rFonts w:hint="eastAsia" w:ascii="宋体" w:hAnsi="宋体"/>
                <w:sz w:val="18"/>
                <w:szCs w:val="18"/>
              </w:rPr>
            </w:pPr>
            <w:r>
              <w:rPr>
                <w:rFonts w:hint="eastAsia" w:ascii="宋体" w:hAnsi="宋体"/>
                <w:b/>
                <w:bCs/>
                <w:sz w:val="18"/>
                <w:szCs w:val="18"/>
                <w:lang w:val="en-US" w:eastAsia="zh-CN"/>
              </w:rPr>
              <w:t>1.</w:t>
            </w:r>
            <w:r>
              <w:rPr>
                <w:rFonts w:hint="eastAsia" w:ascii="宋体" w:hAnsi="宋体"/>
                <w:b/>
                <w:bCs/>
                <w:sz w:val="18"/>
                <w:szCs w:val="18"/>
              </w:rPr>
              <w:t>知识目标：</w:t>
            </w:r>
            <w:r>
              <w:rPr>
                <w:rFonts w:hint="eastAsia" w:ascii="宋体" w:hAnsi="宋体"/>
                <w:sz w:val="18"/>
                <w:szCs w:val="18"/>
              </w:rPr>
              <w:t>掌握业财融合的基本概念、原则及其在现代企业管理中的重要性。了解企业生产流程的主要环节，包括生产计划、生产过程控制等。了解直接材料、直接人工和制造费用的核算方法，以及成本控制的基本原理。了解全面预算管理的概念、方法和流程，掌握生产预算编制等。学习如何识别、评估和控制企业生产过程中的各种风险。了解绩效评价的基本原理和方法，包括关键绩效指标（KPI）的设计与应用。理解作业成本法的含义，掌握作业成本法的核心概念。了解与生产相关的税法规定，学习税收规划的基本方法。熟悉ERP等数字化管理工具在生产管理中的应用。了解供应链管理的基本原理，掌握库存控制的方法。了解所在行业的生产特点、市场趋势、竞争格局及相关政策法规。</w:t>
            </w:r>
            <w:r>
              <w:rPr>
                <w:rFonts w:hint="eastAsia" w:ascii="宋体" w:hAnsi="宋体"/>
                <w:b/>
                <w:bCs/>
                <w:sz w:val="18"/>
                <w:szCs w:val="18"/>
                <w:lang w:val="en-US" w:eastAsia="zh-CN"/>
              </w:rPr>
              <w:t>2</w:t>
            </w:r>
            <w:r>
              <w:rPr>
                <w:rFonts w:ascii="宋体" w:hAnsi="宋体"/>
                <w:b/>
                <w:bCs/>
                <w:sz w:val="18"/>
                <w:szCs w:val="18"/>
              </w:rPr>
              <w:t>.</w:t>
            </w:r>
            <w:r>
              <w:rPr>
                <w:rFonts w:hint="eastAsia" w:ascii="宋体" w:hAnsi="宋体"/>
                <w:b/>
                <w:bCs/>
                <w:sz w:val="18"/>
                <w:szCs w:val="18"/>
              </w:rPr>
              <w:t>能力目标：</w:t>
            </w:r>
            <w:r>
              <w:rPr>
                <w:rFonts w:hint="eastAsia" w:ascii="宋体" w:hAnsi="宋体"/>
                <w:sz w:val="18"/>
                <w:szCs w:val="18"/>
              </w:rPr>
              <w:t>科学合理地制定并适时调整生产计划。能够运用成本分析工具，识别成本控制关键点，优化成本结构，降低生产成本。能够独立完成部门生产预算的编制工作，并监控预算执行情况，及时调整预算。能够识别企业生产过程中的潜在风险，制定并实施有效的风险应对措施。能够设计并实施绩效评价体系，对生产部门及员工绩效进行客观、公正的评价。能够根据国家税收政策，结合企业生产流程，合理进行生产过程中的税务规划，降低违规风险。能够优化供应链管理流程，降低生产成本，提高存货周转率。能够根据市场需求，制定有效的市场营销策略，提升产品市场占有率。能够熟练操作ERP等数字化管理工具，提高工作效率和数据分析能力。能够运用标准成本法进行成本分析，编制产品成本分析报告，为企业管理决策提供数据支撑。</w:t>
            </w:r>
            <w:r>
              <w:rPr>
                <w:rFonts w:hint="eastAsia" w:ascii="宋体" w:hAnsi="宋体"/>
                <w:b/>
                <w:bCs/>
                <w:sz w:val="18"/>
                <w:szCs w:val="18"/>
                <w:lang w:val="en-US" w:eastAsia="zh-CN"/>
              </w:rPr>
              <w:t>3</w:t>
            </w:r>
            <w:r>
              <w:rPr>
                <w:rFonts w:hint="eastAsia" w:ascii="宋体" w:hAnsi="宋体"/>
                <w:b/>
                <w:bCs/>
                <w:sz w:val="18"/>
                <w:szCs w:val="18"/>
              </w:rPr>
              <w:t>.素质目标：</w:t>
            </w:r>
            <w:r>
              <w:rPr>
                <w:rFonts w:hint="eastAsia" w:ascii="宋体" w:hAnsi="宋体"/>
                <w:sz w:val="18"/>
                <w:szCs w:val="18"/>
              </w:rPr>
              <w:t>坚守职业道德，保持诚信品质，维护企业和个人声誉。具备持续学习的意识，勇于探索新方法、新技术，推动工作创新。注重团队合作，能够积极融入团队，共同为企业发展贡献力量。面对复杂问题时，能够冷静分析、快速决策，有效解决问题。具备良好的沟通协调能力，能够与不同部门有效协作，共同完成工作任务。</w:t>
            </w:r>
          </w:p>
          <w:p w14:paraId="5121B552">
            <w:pPr>
              <w:numPr>
                <w:ilvl w:val="0"/>
                <w:numId w:val="0"/>
              </w:numPr>
              <w:spacing w:line="240" w:lineRule="exact"/>
              <w:jc w:val="left"/>
              <w:rPr>
                <w:rFonts w:hint="eastAsia" w:ascii="宋体" w:hAnsi="宋体"/>
                <w:sz w:val="18"/>
                <w:szCs w:val="18"/>
              </w:rPr>
            </w:pPr>
          </w:p>
        </w:tc>
        <w:tc>
          <w:tcPr>
            <w:tcW w:w="1216" w:type="pct"/>
            <w:vAlign w:val="center"/>
          </w:tcPr>
          <w:p w14:paraId="60E563E3">
            <w:pPr>
              <w:spacing w:line="240" w:lineRule="exact"/>
              <w:jc w:val="left"/>
              <w:rPr>
                <w:rFonts w:hint="eastAsia" w:ascii="宋体" w:hAnsi="宋体"/>
                <w:sz w:val="18"/>
                <w:szCs w:val="18"/>
              </w:rPr>
            </w:pPr>
            <w:r>
              <w:rPr>
                <w:rFonts w:hint="eastAsia" w:ascii="宋体" w:hAnsi="宋体"/>
                <w:sz w:val="18"/>
                <w:szCs w:val="18"/>
              </w:rPr>
              <w:t>（1）生产决策与计划：生产决策、生产计划（2）生产管理与过程监控：生产部门员工管理、生产设备管理、生产过程监控（3）生产执行：辅助生产车间业务执行与核算、基本生产车间业务执行与核算、作业成本法核算比较（4）存货管理：存货发出、存货清查、存货期末计量（5）生产成本与分析：生产计划执行情况分析、标准成本法分析、成本分析报告（6）生产绩效考核：班组绩效考核、事业部绩效考核（7）业财融合生产管理综合案例分析</w:t>
            </w:r>
          </w:p>
          <w:p w14:paraId="5B35D30E">
            <w:pPr>
              <w:adjustRightInd w:val="0"/>
              <w:snapToGrid w:val="0"/>
              <w:spacing w:line="240" w:lineRule="exact"/>
              <w:ind w:firstLine="180" w:firstLineChars="100"/>
              <w:rPr>
                <w:rFonts w:hint="eastAsia" w:asciiTheme="minorEastAsia" w:hAnsiTheme="minorEastAsia" w:eastAsiaTheme="minorEastAsia" w:cstheme="minorEastAsia"/>
                <w:sz w:val="18"/>
                <w:szCs w:val="18"/>
              </w:rPr>
            </w:pPr>
          </w:p>
        </w:tc>
      </w:tr>
      <w:tr w14:paraId="0B638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70853465">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4" w:type="pct"/>
            <w:shd w:val="clear" w:color="auto" w:fill="auto"/>
            <w:vAlign w:val="center"/>
          </w:tcPr>
          <w:p w14:paraId="4137F00A">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业财融合销售管理</w:t>
            </w:r>
          </w:p>
        </w:tc>
        <w:tc>
          <w:tcPr>
            <w:tcW w:w="108" w:type="pct"/>
            <w:vAlign w:val="center"/>
          </w:tcPr>
          <w:p w14:paraId="1A009876">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必修</w:t>
            </w:r>
          </w:p>
        </w:tc>
        <w:tc>
          <w:tcPr>
            <w:tcW w:w="108" w:type="pct"/>
            <w:shd w:val="clear" w:color="auto" w:fill="auto"/>
            <w:vAlign w:val="center"/>
          </w:tcPr>
          <w:p w14:paraId="23E59EC4">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8" w:type="pct"/>
            <w:shd w:val="clear" w:color="auto" w:fill="auto"/>
            <w:vAlign w:val="center"/>
          </w:tcPr>
          <w:p w14:paraId="3B088C03">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4</w:t>
            </w:r>
          </w:p>
        </w:tc>
        <w:tc>
          <w:tcPr>
            <w:tcW w:w="108" w:type="pct"/>
            <w:shd w:val="clear" w:color="auto" w:fill="auto"/>
            <w:vAlign w:val="center"/>
          </w:tcPr>
          <w:p w14:paraId="51F01B84">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64</w:t>
            </w:r>
          </w:p>
        </w:tc>
        <w:tc>
          <w:tcPr>
            <w:tcW w:w="108" w:type="pct"/>
            <w:shd w:val="clear" w:color="auto" w:fill="auto"/>
            <w:vAlign w:val="center"/>
          </w:tcPr>
          <w:p w14:paraId="035C7B49">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0DF25B51">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8" w:type="pct"/>
            <w:shd w:val="clear" w:color="auto" w:fill="auto"/>
            <w:vAlign w:val="center"/>
          </w:tcPr>
          <w:p w14:paraId="25A5E3F5">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8" w:type="pct"/>
            <w:shd w:val="clear" w:color="auto" w:fill="auto"/>
            <w:vAlign w:val="center"/>
          </w:tcPr>
          <w:p w14:paraId="6826E3F3">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3</w:t>
            </w:r>
          </w:p>
        </w:tc>
        <w:tc>
          <w:tcPr>
            <w:tcW w:w="162" w:type="pct"/>
            <w:shd w:val="clear" w:color="auto" w:fill="auto"/>
            <w:vAlign w:val="center"/>
          </w:tcPr>
          <w:p w14:paraId="3703D917">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学校</w:t>
            </w:r>
          </w:p>
        </w:tc>
        <w:tc>
          <w:tcPr>
            <w:tcW w:w="2373" w:type="pct"/>
            <w:shd w:val="clear" w:color="auto" w:fill="auto"/>
            <w:vAlign w:val="center"/>
          </w:tcPr>
          <w:p w14:paraId="484F11B2">
            <w:pPr>
              <w:spacing w:line="240" w:lineRule="exact"/>
              <w:jc w:val="left"/>
              <w:rPr>
                <w:rFonts w:hint="eastAsia" w:ascii="宋体" w:hAnsi="宋体"/>
                <w:bCs/>
                <w:sz w:val="18"/>
                <w:szCs w:val="18"/>
              </w:rPr>
            </w:pPr>
            <w:r>
              <w:rPr>
                <w:rFonts w:hint="eastAsia" w:ascii="宋体" w:hAnsi="宋体"/>
                <w:b/>
                <w:bCs w:val="0"/>
                <w:sz w:val="18"/>
                <w:szCs w:val="18"/>
                <w:lang w:val="en-US" w:eastAsia="zh-CN"/>
              </w:rPr>
              <w:t>1</w:t>
            </w:r>
            <w:r>
              <w:rPr>
                <w:rFonts w:hint="eastAsia" w:ascii="宋体" w:hAnsi="宋体"/>
                <w:b/>
                <w:bCs w:val="0"/>
                <w:sz w:val="18"/>
                <w:szCs w:val="18"/>
              </w:rPr>
              <w:t>.知识目标：</w:t>
            </w:r>
            <w:r>
              <w:rPr>
                <w:rFonts w:hint="eastAsia" w:ascii="宋体" w:hAnsi="宋体"/>
                <w:bCs/>
                <w:sz w:val="18"/>
                <w:szCs w:val="18"/>
              </w:rPr>
              <w:t>了解销售市场分析和销售预测的基本内容和方法；熟悉各种产品定价方法的计算原理和适用情形；</w:t>
            </w:r>
          </w:p>
          <w:p w14:paraId="6275FA9C">
            <w:pPr>
              <w:spacing w:line="240" w:lineRule="exact"/>
              <w:jc w:val="left"/>
              <w:rPr>
                <w:rFonts w:hint="eastAsia" w:ascii="宋体" w:hAnsi="宋体"/>
                <w:bCs/>
                <w:sz w:val="18"/>
                <w:szCs w:val="18"/>
              </w:rPr>
            </w:pPr>
            <w:r>
              <w:rPr>
                <w:rFonts w:hint="eastAsia" w:ascii="宋体" w:hAnsi="宋体"/>
                <w:bCs/>
                <w:sz w:val="18"/>
                <w:szCs w:val="18"/>
              </w:rPr>
              <w:t>熟悉销售计划主要内容，掌握销售预算的主要内容和编制方法；熟悉报价、合同、订单、发货及结算等典型销售业务流程，领会各业务流程节点的关键知识；掌握客户信用管理的流程和应收账款回收的核心知识；理解收入确认与计量的步骤，掌握不同类型销售收入的核算内容和核算方法；掌握销售成本、销售费用、销售税金的核算内容和核算方法；了解销售利润的形成过程及影响因素，掌握利润的不同层级及计算口径；熟悉销售分析的主要内容，掌握常用的分析方法；熟悉销售绩效评价的内容、方法和评价实施要点。</w:t>
            </w:r>
            <w:r>
              <w:rPr>
                <w:rFonts w:hint="eastAsia" w:ascii="宋体" w:hAnsi="宋体"/>
                <w:b/>
                <w:bCs w:val="0"/>
                <w:sz w:val="18"/>
                <w:szCs w:val="18"/>
                <w:lang w:val="en-US" w:eastAsia="zh-CN"/>
              </w:rPr>
              <w:t>2</w:t>
            </w:r>
            <w:r>
              <w:rPr>
                <w:rFonts w:hint="eastAsia" w:ascii="宋体" w:hAnsi="宋体"/>
                <w:b/>
                <w:bCs w:val="0"/>
                <w:sz w:val="18"/>
                <w:szCs w:val="18"/>
              </w:rPr>
              <w:t>.能力目标：</w:t>
            </w:r>
            <w:r>
              <w:rPr>
                <w:rFonts w:hint="eastAsia" w:ascii="宋体" w:hAnsi="宋体"/>
                <w:bCs/>
                <w:sz w:val="18"/>
                <w:szCs w:val="18"/>
              </w:rPr>
              <w:t>能够运用大数据技术和市场分析方法进行多维度的销售市场分析，并能根据分析结果进行销售量和销售价格预测；能够在销售预测的基础上选择合理的方法进行产品定价，能够识别产品定价过程中的潜在风险并加以控制；能够运用销售计划各流程节点的关键知识合理制订销售计划，并从人员配备、技术支持、制度设计、财务资源配置等方面采取必要的措施保障销售计划的完成；能够选择适当的预算编制方法编制销售收入、销售成本、销售费用等销售预算，建立完整的销售预算体系，并能根据情况变化适时调整销售预算；能够运用大数据技术做好客户信用调查工作，并在此基础上合理制定客户信用政策；能够识别销售执行各流程节点的风险因素并加以控制，能够以价值为导向合理选择销售业务模式；能够对各类收入的确认与计量进行正确的判断，对销售收入进行全面、完整的核算；能够运用应收账款管理知识做好账款回收工作，有效控制坏账风险，能够运用备抵法进行坏账损失的核算；能够对销售成本、销售费用、销售税金进行合理管控和正确核算，能够正确计算销售成果；能够对销售执行的结果从财务、业务角度进行深入分析，能够对各层级营销部门和人员开展销售绩效评价，能够将销售分析与绩效评价的结果应用于优化销售业务管理，提高销售效率。</w:t>
            </w:r>
            <w:r>
              <w:rPr>
                <w:rFonts w:hint="eastAsia" w:ascii="宋体" w:hAnsi="宋体"/>
                <w:b/>
                <w:bCs w:val="0"/>
                <w:sz w:val="18"/>
                <w:szCs w:val="18"/>
                <w:lang w:val="en-US" w:eastAsia="zh-CN"/>
              </w:rPr>
              <w:t>3</w:t>
            </w:r>
            <w:r>
              <w:rPr>
                <w:rFonts w:hint="eastAsia" w:ascii="宋体" w:hAnsi="宋体"/>
                <w:b/>
                <w:bCs w:val="0"/>
                <w:sz w:val="18"/>
                <w:szCs w:val="18"/>
              </w:rPr>
              <w:t>.素质目标</w:t>
            </w:r>
            <w:r>
              <w:rPr>
                <w:rFonts w:hint="eastAsia" w:ascii="宋体" w:hAnsi="宋体"/>
                <w:bCs/>
                <w:sz w:val="18"/>
                <w:szCs w:val="18"/>
              </w:rPr>
              <w:t>：具备较强的语言表达、团队合作与沟通协调能力；具有工匠精神、开拓精神、创新意识，注重客户服务、合作共赢；树立高质量发展理念，具备市场风险意识和成本效益意识；具有大数据思维、系统性思维和全局观，能够洞悉数字背后的业务逻辑；具有良好的职业道德，依法纳税，诚信经营。</w:t>
            </w:r>
          </w:p>
          <w:p w14:paraId="271F50AC">
            <w:pPr>
              <w:spacing w:line="240" w:lineRule="exact"/>
              <w:jc w:val="left"/>
              <w:rPr>
                <w:rFonts w:hint="eastAsia"/>
                <w:sz w:val="18"/>
                <w:szCs w:val="18"/>
              </w:rPr>
            </w:pPr>
          </w:p>
        </w:tc>
        <w:tc>
          <w:tcPr>
            <w:tcW w:w="1216" w:type="pct"/>
            <w:vAlign w:val="center"/>
          </w:tcPr>
          <w:p w14:paraId="3BB97087">
            <w:pPr>
              <w:spacing w:line="240" w:lineRule="exact"/>
              <w:jc w:val="left"/>
              <w:rPr>
                <w:rFonts w:hint="eastAsia" w:ascii="宋体" w:hAnsi="宋体" w:eastAsia="宋体" w:cs="Times New Roman"/>
                <w:sz w:val="18"/>
                <w:szCs w:val="18"/>
                <w:lang w:eastAsia="zh-CN"/>
              </w:rPr>
            </w:pPr>
            <w:r>
              <w:rPr>
                <w:rFonts w:hint="eastAsia" w:ascii="宋体" w:hAnsi="宋体" w:eastAsia="宋体" w:cs="Times New Roman"/>
                <w:sz w:val="18"/>
                <w:szCs w:val="18"/>
              </w:rPr>
              <w:t>（1）销售预测与产品定价：市场分析、销售预测、产品定价</w:t>
            </w:r>
            <w:r>
              <w:rPr>
                <w:rFonts w:hint="eastAsia" w:ascii="宋体" w:hAnsi="宋体" w:eastAsia="宋体" w:cs="Times New Roman"/>
                <w:sz w:val="18"/>
                <w:szCs w:val="18"/>
                <w:lang w:eastAsia="zh-CN"/>
              </w:rPr>
              <w:t>。</w:t>
            </w:r>
            <w:r>
              <w:rPr>
                <w:rFonts w:hint="eastAsia" w:ascii="宋体" w:hAnsi="宋体" w:eastAsia="宋体" w:cs="Times New Roman"/>
                <w:sz w:val="18"/>
                <w:szCs w:val="18"/>
              </w:rPr>
              <w:t>（2）销售计划与预算：销售计划、计划执行保障、销售预算</w:t>
            </w:r>
            <w:r>
              <w:rPr>
                <w:rFonts w:hint="eastAsia" w:ascii="宋体" w:hAnsi="宋体" w:eastAsia="宋体" w:cs="Times New Roman"/>
                <w:sz w:val="18"/>
                <w:szCs w:val="18"/>
                <w:lang w:eastAsia="zh-CN"/>
              </w:rPr>
              <w:t>。</w:t>
            </w:r>
            <w:r>
              <w:rPr>
                <w:rFonts w:hint="eastAsia" w:ascii="宋体" w:hAnsi="宋体" w:eastAsia="宋体" w:cs="Times New Roman"/>
                <w:sz w:val="18"/>
                <w:szCs w:val="18"/>
              </w:rPr>
              <w:t>（3）销售执行：客户信用管理、经销客户销售过程控制、直销客户销售过程控制、应收账款管理、客户售后管理</w:t>
            </w:r>
            <w:r>
              <w:rPr>
                <w:rFonts w:hint="eastAsia" w:ascii="宋体" w:hAnsi="宋体" w:eastAsia="宋体" w:cs="Times New Roman"/>
                <w:sz w:val="18"/>
                <w:szCs w:val="18"/>
                <w:lang w:eastAsia="zh-CN"/>
              </w:rPr>
              <w:t>。</w:t>
            </w:r>
            <w:r>
              <w:rPr>
                <w:rFonts w:hint="eastAsia" w:ascii="宋体" w:hAnsi="宋体" w:eastAsia="宋体" w:cs="Times New Roman"/>
                <w:sz w:val="18"/>
                <w:szCs w:val="18"/>
              </w:rPr>
              <w:t>（4）销售收入核算：收入确认与计量的步骤、某一时点履约义务的收入核算、某一时段确认收入的核算、坏账计提与核销核算</w:t>
            </w:r>
            <w:r>
              <w:rPr>
                <w:rFonts w:hint="eastAsia" w:ascii="宋体" w:hAnsi="宋体" w:eastAsia="宋体" w:cs="Times New Roman"/>
                <w:sz w:val="18"/>
                <w:szCs w:val="18"/>
                <w:lang w:eastAsia="zh-CN"/>
              </w:rPr>
              <w:t>。</w:t>
            </w:r>
            <w:r>
              <w:rPr>
                <w:rFonts w:hint="eastAsia" w:ascii="宋体" w:hAnsi="宋体" w:eastAsia="宋体" w:cs="Times New Roman"/>
                <w:sz w:val="18"/>
                <w:szCs w:val="18"/>
              </w:rPr>
              <w:t>（5）销售利润核算：销售成本核算、销售费用核算、销售税费核算、销售利润核算</w:t>
            </w:r>
            <w:r>
              <w:rPr>
                <w:rFonts w:hint="eastAsia" w:ascii="宋体" w:hAnsi="宋体" w:eastAsia="宋体" w:cs="Times New Roman"/>
                <w:sz w:val="18"/>
                <w:szCs w:val="18"/>
                <w:lang w:eastAsia="zh-CN"/>
              </w:rPr>
              <w:t>。</w:t>
            </w:r>
            <w:r>
              <w:rPr>
                <w:rFonts w:hint="eastAsia" w:ascii="宋体" w:hAnsi="宋体" w:eastAsia="宋体" w:cs="Times New Roman"/>
                <w:sz w:val="18"/>
                <w:szCs w:val="18"/>
              </w:rPr>
              <w:t>（6）销售分析与绩效评价：销财务分析、销售业务分析、绩效评价</w:t>
            </w:r>
            <w:r>
              <w:rPr>
                <w:rFonts w:hint="eastAsia" w:ascii="宋体" w:hAnsi="宋体" w:eastAsia="宋体" w:cs="Times New Roman"/>
                <w:sz w:val="18"/>
                <w:szCs w:val="18"/>
                <w:lang w:eastAsia="zh-CN"/>
              </w:rPr>
              <w:t>。</w:t>
            </w:r>
            <w:r>
              <w:rPr>
                <w:rFonts w:hint="eastAsia" w:ascii="宋体" w:hAnsi="宋体" w:eastAsia="宋体" w:cs="Times New Roman"/>
                <w:sz w:val="18"/>
                <w:szCs w:val="18"/>
              </w:rPr>
              <w:t>（7）业财融合销售管理综合案例分析</w:t>
            </w:r>
            <w:r>
              <w:rPr>
                <w:rFonts w:hint="eastAsia" w:ascii="宋体" w:hAnsi="宋体" w:eastAsia="宋体" w:cs="Times New Roman"/>
                <w:sz w:val="18"/>
                <w:szCs w:val="18"/>
                <w:lang w:eastAsia="zh-CN"/>
              </w:rPr>
              <w:t>。</w:t>
            </w:r>
          </w:p>
          <w:p w14:paraId="5C7B4B6D">
            <w:pPr>
              <w:adjustRightInd w:val="0"/>
              <w:snapToGrid w:val="0"/>
              <w:spacing w:line="240" w:lineRule="exact"/>
              <w:ind w:firstLine="180" w:firstLineChars="100"/>
              <w:rPr>
                <w:rFonts w:hint="eastAsia" w:asciiTheme="minorEastAsia" w:hAnsiTheme="minorEastAsia" w:eastAsiaTheme="minorEastAsia" w:cstheme="minorEastAsia"/>
                <w:sz w:val="18"/>
                <w:szCs w:val="18"/>
              </w:rPr>
            </w:pPr>
          </w:p>
        </w:tc>
      </w:tr>
    </w:tbl>
    <w:p w14:paraId="129F12EE">
      <w:pPr>
        <w:sectPr>
          <w:pgSz w:w="23811" w:h="16838" w:orient="landscape"/>
          <w:pgMar w:top="1701" w:right="1417" w:bottom="1701" w:left="1417" w:header="851" w:footer="992" w:gutter="0"/>
          <w:cols w:space="0" w:num="1"/>
          <w:docGrid w:type="lines" w:linePitch="312" w:charSpace="0"/>
        </w:sectPr>
      </w:pPr>
    </w:p>
    <w:tbl>
      <w:tblPr>
        <w:tblStyle w:val="14"/>
        <w:tblW w:w="50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6"/>
        <w:gridCol w:w="1085"/>
        <w:gridCol w:w="429"/>
        <w:gridCol w:w="429"/>
        <w:gridCol w:w="433"/>
        <w:gridCol w:w="433"/>
        <w:gridCol w:w="433"/>
        <w:gridCol w:w="433"/>
        <w:gridCol w:w="433"/>
        <w:gridCol w:w="433"/>
        <w:gridCol w:w="660"/>
        <w:gridCol w:w="9987"/>
        <w:gridCol w:w="5108"/>
      </w:tblGrid>
      <w:tr w14:paraId="1C08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70" w:type="pct"/>
            <w:tcBorders>
              <w:top w:val="single" w:color="auto" w:sz="4" w:space="0"/>
              <w:left w:val="single" w:color="auto" w:sz="4" w:space="0"/>
              <w:bottom w:val="single" w:color="auto" w:sz="4" w:space="0"/>
              <w:right w:val="single" w:color="auto" w:sz="4" w:space="0"/>
            </w:tcBorders>
            <w:vAlign w:val="center"/>
          </w:tcPr>
          <w:p w14:paraId="1ECD7FA3">
            <w:pPr>
              <w:widowControl/>
              <w:spacing w:line="240" w:lineRule="exact"/>
              <w:jc w:val="center"/>
              <w:rPr>
                <w:rFonts w:hint="eastAsia" w:ascii="宋体" w:hAnsi="宋体" w:cs="宋体"/>
                <w:b/>
                <w:bCs/>
                <w:color w:val="000000"/>
                <w:kern w:val="0"/>
                <w:sz w:val="18"/>
                <w:szCs w:val="18"/>
              </w:rPr>
            </w:pPr>
            <w:bookmarkStart w:id="2" w:name="_Hlk201255702"/>
            <w:r>
              <w:rPr>
                <w:rFonts w:hint="eastAsia" w:ascii="宋体" w:hAnsi="宋体" w:cs="宋体"/>
                <w:b/>
                <w:bCs/>
                <w:color w:val="000000"/>
                <w:kern w:val="0"/>
                <w:sz w:val="18"/>
                <w:szCs w:val="18"/>
              </w:rPr>
              <w:t>类别</w:t>
            </w:r>
          </w:p>
        </w:tc>
        <w:tc>
          <w:tcPr>
            <w:tcW w:w="258" w:type="pct"/>
            <w:tcBorders>
              <w:top w:val="single" w:color="auto" w:sz="4" w:space="0"/>
              <w:left w:val="single" w:color="auto" w:sz="4" w:space="0"/>
              <w:bottom w:val="single" w:color="auto" w:sz="4" w:space="0"/>
              <w:right w:val="single" w:color="auto" w:sz="4" w:space="0"/>
            </w:tcBorders>
            <w:shd w:val="clear" w:color="auto" w:fill="auto"/>
            <w:vAlign w:val="center"/>
          </w:tcPr>
          <w:p w14:paraId="4CA65034">
            <w:pPr>
              <w:jc w:val="center"/>
              <w:rPr>
                <w:rFonts w:hint="eastAsia" w:asciiTheme="minorEastAsia" w:hAnsiTheme="minorEastAsia" w:eastAsiaTheme="minorEastAsia"/>
                <w:b/>
                <w:bCs/>
                <w:sz w:val="18"/>
                <w:szCs w:val="18"/>
              </w:rPr>
            </w:pPr>
            <w:r>
              <w:rPr>
                <w:rFonts w:hint="eastAsia" w:asciiTheme="minorEastAsia" w:hAnsiTheme="minorEastAsia" w:eastAsiaTheme="minorEastAsia"/>
                <w:b/>
                <w:bCs/>
                <w:sz w:val="18"/>
                <w:szCs w:val="18"/>
              </w:rPr>
              <w:t>课程名称</w:t>
            </w:r>
          </w:p>
        </w:tc>
        <w:tc>
          <w:tcPr>
            <w:tcW w:w="102" w:type="pct"/>
            <w:tcBorders>
              <w:top w:val="single" w:color="auto" w:sz="4" w:space="0"/>
              <w:left w:val="single" w:color="auto" w:sz="4" w:space="0"/>
              <w:bottom w:val="single" w:color="auto" w:sz="4" w:space="0"/>
              <w:right w:val="single" w:color="auto" w:sz="4" w:space="0"/>
            </w:tcBorders>
            <w:vAlign w:val="center"/>
          </w:tcPr>
          <w:p w14:paraId="235FB961">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w:t>
            </w:r>
          </w:p>
          <w:p w14:paraId="2A577397">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类型</w:t>
            </w:r>
          </w:p>
        </w:tc>
        <w:tc>
          <w:tcPr>
            <w:tcW w:w="102" w:type="pct"/>
            <w:tcBorders>
              <w:top w:val="single" w:color="auto" w:sz="4" w:space="0"/>
              <w:left w:val="single" w:color="auto" w:sz="4" w:space="0"/>
              <w:bottom w:val="single" w:color="auto" w:sz="4" w:space="0"/>
              <w:right w:val="single" w:color="auto" w:sz="4" w:space="0"/>
            </w:tcBorders>
            <w:shd w:val="clear" w:color="auto" w:fill="auto"/>
            <w:vAlign w:val="center"/>
          </w:tcPr>
          <w:p w14:paraId="77FA27EB">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 类别</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52DA47D3">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学分</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1B024165">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总学时</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40938E11">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理论</w:t>
            </w:r>
          </w:p>
          <w:p w14:paraId="77BDFBDD">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4E743762">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实践</w:t>
            </w:r>
          </w:p>
          <w:p w14:paraId="5B7D8C3B">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7A79A745">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考核</w:t>
            </w:r>
          </w:p>
          <w:p w14:paraId="2812FB3A">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方式</w:t>
            </w:r>
          </w:p>
        </w:tc>
        <w:tc>
          <w:tcPr>
            <w:tcW w:w="103" w:type="pct"/>
            <w:tcBorders>
              <w:top w:val="single" w:color="auto" w:sz="4" w:space="0"/>
              <w:left w:val="single" w:color="auto" w:sz="4" w:space="0"/>
              <w:bottom w:val="single" w:color="auto" w:sz="4" w:space="0"/>
              <w:right w:val="single" w:color="auto" w:sz="4" w:space="0"/>
            </w:tcBorders>
            <w:shd w:val="clear" w:color="auto" w:fill="auto"/>
            <w:vAlign w:val="center"/>
          </w:tcPr>
          <w:p w14:paraId="7B3CAEF7">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开设</w:t>
            </w:r>
          </w:p>
          <w:p w14:paraId="62114432">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学期</w:t>
            </w:r>
          </w:p>
        </w:tc>
        <w:tc>
          <w:tcPr>
            <w:tcW w:w="157" w:type="pct"/>
            <w:tcBorders>
              <w:top w:val="single" w:color="auto" w:sz="4" w:space="0"/>
              <w:left w:val="single" w:color="auto" w:sz="4" w:space="0"/>
              <w:bottom w:val="single" w:color="auto" w:sz="4" w:space="0"/>
              <w:right w:val="single" w:color="auto" w:sz="4" w:space="0"/>
            </w:tcBorders>
            <w:shd w:val="clear" w:color="auto" w:fill="auto"/>
            <w:vAlign w:val="center"/>
          </w:tcPr>
          <w:p w14:paraId="4B7225C7">
            <w:pPr>
              <w:pStyle w:val="24"/>
              <w:spacing w:line="240" w:lineRule="auto"/>
              <w:ind w:left="0" w:firstLine="0" w:firstLineChars="0"/>
              <w:jc w:val="center"/>
              <w:rPr>
                <w:rFonts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授课</w:t>
            </w:r>
          </w:p>
          <w:p w14:paraId="7520278B">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主体</w:t>
            </w:r>
          </w:p>
        </w:tc>
        <w:tc>
          <w:tcPr>
            <w:tcW w:w="2374" w:type="pct"/>
            <w:tcBorders>
              <w:top w:val="single" w:color="auto" w:sz="4" w:space="0"/>
              <w:left w:val="single" w:color="auto" w:sz="4" w:space="0"/>
              <w:bottom w:val="single" w:color="auto" w:sz="4" w:space="0"/>
              <w:right w:val="single" w:color="auto" w:sz="4" w:space="0"/>
            </w:tcBorders>
            <w:shd w:val="clear" w:color="auto" w:fill="auto"/>
            <w:vAlign w:val="center"/>
          </w:tcPr>
          <w:p w14:paraId="6D9A010B">
            <w:pPr>
              <w:spacing w:line="200" w:lineRule="exact"/>
              <w:jc w:val="center"/>
              <w:rPr>
                <w:rFonts w:hint="eastAsia" w:ascii="宋体" w:hAnsi="宋体"/>
                <w:b/>
                <w:bCs/>
                <w:sz w:val="18"/>
                <w:szCs w:val="18"/>
              </w:rPr>
            </w:pPr>
            <w:r>
              <w:rPr>
                <w:rFonts w:hint="eastAsia" w:ascii="宋体" w:hAnsi="宋体"/>
                <w:b/>
                <w:bCs/>
                <w:sz w:val="18"/>
                <w:szCs w:val="18"/>
              </w:rPr>
              <w:t>课程目标</w:t>
            </w:r>
          </w:p>
        </w:tc>
        <w:tc>
          <w:tcPr>
            <w:tcW w:w="1214" w:type="pct"/>
            <w:tcBorders>
              <w:top w:val="single" w:color="auto" w:sz="4" w:space="0"/>
              <w:left w:val="single" w:color="auto" w:sz="4" w:space="0"/>
              <w:bottom w:val="single" w:color="auto" w:sz="4" w:space="0"/>
              <w:right w:val="single" w:color="auto" w:sz="4" w:space="0"/>
            </w:tcBorders>
            <w:vAlign w:val="center"/>
          </w:tcPr>
          <w:p w14:paraId="48270572">
            <w:pPr>
              <w:spacing w:line="200" w:lineRule="exact"/>
              <w:jc w:val="center"/>
              <w:rPr>
                <w:rFonts w:hint="eastAsia" w:ascii="宋体" w:hAnsi="宋体"/>
                <w:b/>
                <w:bCs/>
                <w:sz w:val="18"/>
                <w:szCs w:val="18"/>
              </w:rPr>
            </w:pPr>
            <w:r>
              <w:rPr>
                <w:rFonts w:hint="eastAsia" w:ascii="宋体" w:hAnsi="宋体"/>
                <w:b/>
                <w:bCs/>
                <w:sz w:val="18"/>
                <w:szCs w:val="18"/>
              </w:rPr>
              <w:t>主要教学内容</w:t>
            </w:r>
          </w:p>
        </w:tc>
      </w:tr>
      <w:bookmarkEnd w:id="2"/>
      <w:tr w14:paraId="3C046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 w:type="pct"/>
            <w:vMerge w:val="restart"/>
            <w:vAlign w:val="center"/>
          </w:tcPr>
          <w:p w14:paraId="03DB1A7F">
            <w:pPr>
              <w:pStyle w:val="24"/>
              <w:ind w:firstLine="36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专业核心课程</w:t>
            </w:r>
          </w:p>
        </w:tc>
        <w:tc>
          <w:tcPr>
            <w:tcW w:w="258" w:type="pct"/>
            <w:shd w:val="clear" w:color="auto" w:fill="auto"/>
            <w:vAlign w:val="center"/>
          </w:tcPr>
          <w:p w14:paraId="07941AA9">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业财融合筹资管理</w:t>
            </w:r>
          </w:p>
        </w:tc>
        <w:tc>
          <w:tcPr>
            <w:tcW w:w="102" w:type="pct"/>
            <w:vAlign w:val="center"/>
          </w:tcPr>
          <w:p w14:paraId="57CF726D">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必修</w:t>
            </w:r>
          </w:p>
        </w:tc>
        <w:tc>
          <w:tcPr>
            <w:tcW w:w="102" w:type="pct"/>
            <w:shd w:val="clear" w:color="auto" w:fill="auto"/>
            <w:vAlign w:val="center"/>
          </w:tcPr>
          <w:p w14:paraId="4C659FCE">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3" w:type="pct"/>
            <w:shd w:val="clear" w:color="auto" w:fill="auto"/>
            <w:vAlign w:val="center"/>
          </w:tcPr>
          <w:p w14:paraId="71B0845D">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4</w:t>
            </w:r>
          </w:p>
        </w:tc>
        <w:tc>
          <w:tcPr>
            <w:tcW w:w="103" w:type="pct"/>
            <w:shd w:val="clear" w:color="auto" w:fill="auto"/>
            <w:vAlign w:val="center"/>
          </w:tcPr>
          <w:p w14:paraId="1BD2DE85">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64</w:t>
            </w:r>
          </w:p>
        </w:tc>
        <w:tc>
          <w:tcPr>
            <w:tcW w:w="103" w:type="pct"/>
            <w:shd w:val="clear" w:color="auto" w:fill="auto"/>
            <w:vAlign w:val="center"/>
          </w:tcPr>
          <w:p w14:paraId="03AF5C2D">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796FE53D">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54BA4C85">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3" w:type="pct"/>
            <w:shd w:val="clear" w:color="auto" w:fill="auto"/>
            <w:vAlign w:val="center"/>
          </w:tcPr>
          <w:p w14:paraId="0A1671CC">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3</w:t>
            </w:r>
          </w:p>
        </w:tc>
        <w:tc>
          <w:tcPr>
            <w:tcW w:w="157" w:type="pct"/>
            <w:shd w:val="clear" w:color="auto" w:fill="auto"/>
            <w:vAlign w:val="center"/>
          </w:tcPr>
          <w:p w14:paraId="1A184CAB">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74" w:type="pct"/>
            <w:shd w:val="clear" w:color="auto" w:fill="auto"/>
            <w:vAlign w:val="center"/>
          </w:tcPr>
          <w:p w14:paraId="31420062">
            <w:pPr>
              <w:spacing w:line="240" w:lineRule="exact"/>
              <w:jc w:val="left"/>
              <w:rPr>
                <w:rFonts w:hint="eastAsia" w:ascii="宋体" w:hAnsi="宋体"/>
                <w:sz w:val="18"/>
                <w:szCs w:val="18"/>
              </w:rPr>
            </w:pPr>
            <w:r>
              <w:rPr>
                <w:rFonts w:hint="eastAsia" w:ascii="宋体" w:hAnsi="宋体" w:cs="宋体"/>
                <w:sz w:val="18"/>
                <w:szCs w:val="18"/>
                <w:lang w:bidi="ar"/>
              </w:rPr>
              <w:t xml:space="preserve"> </w:t>
            </w:r>
          </w:p>
          <w:p w14:paraId="6E414882">
            <w:pPr>
              <w:spacing w:line="240" w:lineRule="exact"/>
              <w:jc w:val="left"/>
              <w:rPr>
                <w:rFonts w:hint="eastAsia" w:ascii="宋体" w:hAnsi="宋体"/>
                <w:sz w:val="18"/>
                <w:szCs w:val="18"/>
              </w:rPr>
            </w:pPr>
            <w:r>
              <w:rPr>
                <w:rFonts w:hint="eastAsia" w:ascii="宋体" w:hAnsi="宋体"/>
                <w:b/>
                <w:bCs/>
                <w:sz w:val="18"/>
                <w:szCs w:val="18"/>
                <w:lang w:val="en-US" w:eastAsia="zh-CN"/>
              </w:rPr>
              <w:t>1.</w:t>
            </w:r>
            <w:r>
              <w:rPr>
                <w:rFonts w:hint="eastAsia" w:ascii="宋体" w:hAnsi="宋体"/>
                <w:b/>
                <w:bCs/>
                <w:sz w:val="18"/>
                <w:szCs w:val="18"/>
              </w:rPr>
              <w:t>知识目标</w:t>
            </w:r>
            <w:bookmarkStart w:id="3" w:name="_Hlk140242423"/>
            <w:r>
              <w:rPr>
                <w:rFonts w:hint="eastAsia" w:ascii="宋体" w:hAnsi="宋体"/>
                <w:b/>
                <w:bCs/>
                <w:sz w:val="18"/>
                <w:szCs w:val="18"/>
              </w:rPr>
              <w:t>：</w:t>
            </w:r>
            <w:r>
              <w:rPr>
                <w:rFonts w:hint="eastAsia" w:ascii="宋体" w:hAnsi="宋体"/>
                <w:sz w:val="18"/>
                <w:szCs w:val="18"/>
              </w:rPr>
              <w:t>了解业财融合筹资管理相关概念，理解筹资价值观念、需求动机、筹资流程；掌握大数据筹资成本、风险与结构分析方法；理解全面预算，掌握销售预算、生产预算、采购预算、投资预算、期间费用预算、财务预算编制方法；掌握基于业务视角的价值创造分析方法、基于财务视角的风险控制方法；掌握筹资渠道分析、方式分析与相关决策方法；掌握银行借款、发行股票、发行债券等筹资方式执行与管控内容；掌握银行借款、发行股票、发行债券等筹资方式确认与核算方法；掌握筹资动态运营绩效分析、评价与考评方法。</w:t>
            </w:r>
            <w:bookmarkEnd w:id="3"/>
            <w:r>
              <w:rPr>
                <w:rFonts w:hint="eastAsia" w:ascii="宋体" w:hAnsi="宋体"/>
                <w:b/>
                <w:bCs/>
                <w:sz w:val="18"/>
                <w:szCs w:val="18"/>
                <w:lang w:val="en-US" w:eastAsia="zh-CN"/>
              </w:rPr>
              <w:t>2</w:t>
            </w:r>
            <w:r>
              <w:rPr>
                <w:rFonts w:hint="eastAsia" w:ascii="宋体" w:hAnsi="宋体"/>
                <w:b/>
                <w:bCs/>
                <w:sz w:val="18"/>
                <w:szCs w:val="18"/>
              </w:rPr>
              <w:t>.能力目标</w:t>
            </w:r>
            <w:r>
              <w:rPr>
                <w:rFonts w:hint="eastAsia" w:ascii="宋体" w:hAnsi="宋体"/>
                <w:sz w:val="18"/>
                <w:szCs w:val="18"/>
              </w:rPr>
              <w:t>：能分析不同筹资需求动机，合理确定筹资流程；能正确计算筹资成本，进行风险与结构分析；能熟练编制销售预算、生产预算、采购预算、投资预算、期间费用预算、财务预算；能有效进行业务视角下价值创造分析、给出财务视角下风险控制方案；能有效对银行借款、发行股票、发行债券等筹资业务执行、管理和核算；</w:t>
            </w:r>
          </w:p>
          <w:p w14:paraId="6FD3ACB0">
            <w:pPr>
              <w:spacing w:line="240" w:lineRule="exact"/>
              <w:jc w:val="left"/>
              <w:rPr>
                <w:rFonts w:hint="eastAsia"/>
                <w:sz w:val="18"/>
                <w:szCs w:val="18"/>
              </w:rPr>
            </w:pPr>
            <w:r>
              <w:rPr>
                <w:rFonts w:hint="eastAsia" w:ascii="宋体" w:hAnsi="宋体"/>
                <w:sz w:val="18"/>
                <w:szCs w:val="18"/>
              </w:rPr>
              <w:t>能正确进行筹资动态运营绩效分析、评价与考评。</w:t>
            </w:r>
            <w:r>
              <w:rPr>
                <w:rFonts w:hint="eastAsia" w:ascii="宋体" w:hAnsi="宋体"/>
                <w:b/>
                <w:bCs/>
                <w:sz w:val="18"/>
                <w:szCs w:val="18"/>
                <w:lang w:val="en-US" w:eastAsia="zh-CN"/>
              </w:rPr>
              <w:t>3</w:t>
            </w:r>
            <w:r>
              <w:rPr>
                <w:rFonts w:hint="eastAsia" w:ascii="宋体" w:hAnsi="宋体"/>
                <w:b/>
                <w:bCs/>
                <w:sz w:val="18"/>
                <w:szCs w:val="18"/>
              </w:rPr>
              <w:t>.素质目标：</w:t>
            </w:r>
            <w:r>
              <w:rPr>
                <w:rFonts w:hint="eastAsia" w:ascii="宋体" w:hAnsi="宋体"/>
                <w:sz w:val="18"/>
                <w:szCs w:val="18"/>
              </w:rPr>
              <w:t>践行社会主义核心价值观，培养具有家国情怀的高素质劳动者；树立资金安全和资金管理意识，提高资金的使用效率；培养爱岗敬业、诚实守信、参与管理的职业品德，同进又具有创新精神和团队合作意识；具备遵纪守法的观念和精益求精的工匠精神，做有责任担当的财务人员。</w:t>
            </w:r>
          </w:p>
        </w:tc>
        <w:tc>
          <w:tcPr>
            <w:tcW w:w="1214" w:type="pct"/>
            <w:vAlign w:val="center"/>
          </w:tcPr>
          <w:p w14:paraId="2694E0CA">
            <w:pPr>
              <w:spacing w:line="240" w:lineRule="exact"/>
              <w:jc w:val="left"/>
              <w:rPr>
                <w:rFonts w:hint="eastAsia" w:ascii="宋体" w:hAnsi="宋体"/>
                <w:sz w:val="18"/>
                <w:szCs w:val="18"/>
              </w:rPr>
            </w:pPr>
          </w:p>
          <w:p w14:paraId="1058DC34">
            <w:pPr>
              <w:spacing w:line="240" w:lineRule="exact"/>
              <w:jc w:val="left"/>
              <w:rPr>
                <w:rFonts w:hint="eastAsia" w:eastAsia="宋体" w:asciiTheme="minorEastAsia" w:hAnsiTheme="minorEastAsia" w:cstheme="minorEastAsia"/>
                <w:sz w:val="18"/>
                <w:szCs w:val="18"/>
                <w:lang w:eastAsia="zh-CN"/>
              </w:rPr>
            </w:pPr>
            <w:r>
              <w:rPr>
                <w:rFonts w:hint="eastAsia" w:ascii="宋体" w:hAnsi="宋体"/>
                <w:sz w:val="18"/>
                <w:szCs w:val="18"/>
              </w:rPr>
              <w:t>（1）筹资认知与识别：筹资认知、认知筹资价值观念、认知筹资需求动机、认知筹资流程</w:t>
            </w:r>
            <w:r>
              <w:rPr>
                <w:rFonts w:hint="eastAsia" w:ascii="宋体" w:hAnsi="宋体"/>
                <w:sz w:val="18"/>
                <w:szCs w:val="18"/>
                <w:lang w:eastAsia="zh-CN"/>
              </w:rPr>
              <w:t>。</w:t>
            </w:r>
            <w:r>
              <w:rPr>
                <w:rFonts w:hint="eastAsia" w:ascii="宋体" w:hAnsi="宋体"/>
                <w:sz w:val="18"/>
                <w:szCs w:val="18"/>
              </w:rPr>
              <w:t>（2）筹资成本、风险与结构分析：资金成本、筹资风险分析分析、资金结构分析</w:t>
            </w:r>
            <w:r>
              <w:rPr>
                <w:rFonts w:hint="eastAsia" w:ascii="宋体" w:hAnsi="宋体"/>
                <w:sz w:val="18"/>
                <w:szCs w:val="18"/>
                <w:lang w:eastAsia="zh-CN"/>
              </w:rPr>
              <w:t>。</w:t>
            </w:r>
            <w:r>
              <w:rPr>
                <w:rFonts w:hint="eastAsia" w:ascii="宋体" w:hAnsi="宋体"/>
                <w:sz w:val="18"/>
                <w:szCs w:val="18"/>
              </w:rPr>
              <w:t>（3)筹资预算与规划：全面预算准备、销售现金预算、生产现金预算、采购现金预算、投资现金预算、期间费用预算、财务预算</w:t>
            </w:r>
            <w:r>
              <w:rPr>
                <w:rFonts w:hint="eastAsia" w:ascii="宋体" w:hAnsi="宋体"/>
                <w:sz w:val="18"/>
                <w:szCs w:val="18"/>
                <w:lang w:eastAsia="zh-CN"/>
              </w:rPr>
              <w:t>。</w:t>
            </w:r>
            <w:r>
              <w:rPr>
                <w:rFonts w:hint="eastAsia" w:ascii="宋体" w:hAnsi="宋体"/>
                <w:sz w:val="18"/>
                <w:szCs w:val="18"/>
              </w:rPr>
              <w:t>（4）资金运营与管理：基于业务视角的价值创造、基于财务视角的风险控制</w:t>
            </w:r>
            <w:r>
              <w:rPr>
                <w:rFonts w:hint="eastAsia" w:ascii="宋体" w:hAnsi="宋体"/>
                <w:sz w:val="18"/>
                <w:szCs w:val="18"/>
                <w:lang w:eastAsia="zh-CN"/>
              </w:rPr>
              <w:t>。</w:t>
            </w:r>
            <w:r>
              <w:rPr>
                <w:rFonts w:hint="eastAsia" w:ascii="宋体" w:hAnsi="宋体"/>
                <w:sz w:val="18"/>
                <w:szCs w:val="18"/>
              </w:rPr>
              <w:t>（5）筹资渠道与方式决策：筹资渠道分析与决策、筹资方式分析与决策</w:t>
            </w:r>
            <w:r>
              <w:rPr>
                <w:rFonts w:hint="eastAsia" w:ascii="宋体" w:hAnsi="宋体"/>
                <w:sz w:val="18"/>
                <w:szCs w:val="18"/>
                <w:lang w:eastAsia="zh-CN"/>
              </w:rPr>
              <w:t>。</w:t>
            </w:r>
            <w:r>
              <w:rPr>
                <w:rFonts w:hint="eastAsia" w:ascii="宋体" w:hAnsi="宋体"/>
                <w:sz w:val="18"/>
                <w:szCs w:val="18"/>
              </w:rPr>
              <w:t>（6）筹资执行与管控：银行借款执行与管控、发行股票执行与管控、应收账款保理执行与管控、融资租赁执行与管控、发行债券执行与管控、其他方式筹资执行与管控</w:t>
            </w:r>
            <w:r>
              <w:rPr>
                <w:rFonts w:hint="eastAsia" w:ascii="宋体" w:hAnsi="宋体"/>
                <w:sz w:val="18"/>
                <w:szCs w:val="18"/>
                <w:lang w:eastAsia="zh-CN"/>
              </w:rPr>
              <w:t>。</w:t>
            </w:r>
            <w:r>
              <w:rPr>
                <w:rFonts w:hint="eastAsia" w:ascii="宋体" w:hAnsi="宋体"/>
                <w:sz w:val="18"/>
                <w:szCs w:val="18"/>
              </w:rPr>
              <w:t>（7）筹资确认与核算：银行借款的核算、发行股票的核算、应收账款保理的核算、融资租赁的核算、发行债券的核算、其他筹资方式的核算</w:t>
            </w:r>
            <w:r>
              <w:rPr>
                <w:rFonts w:hint="eastAsia" w:ascii="宋体" w:hAnsi="宋体"/>
                <w:sz w:val="18"/>
                <w:szCs w:val="18"/>
                <w:lang w:eastAsia="zh-CN"/>
              </w:rPr>
              <w:t>。</w:t>
            </w:r>
            <w:r>
              <w:rPr>
                <w:rFonts w:hint="eastAsia" w:ascii="宋体" w:hAnsi="宋体"/>
                <w:sz w:val="18"/>
                <w:szCs w:val="18"/>
              </w:rPr>
              <w:t>（8）筹资分析与考评：资金动态运营分析与评价、筹资分析与评价、筹资绩效考评</w:t>
            </w:r>
            <w:r>
              <w:rPr>
                <w:rFonts w:hint="eastAsia" w:ascii="宋体" w:hAnsi="宋体"/>
                <w:sz w:val="18"/>
                <w:szCs w:val="18"/>
                <w:lang w:eastAsia="zh-CN"/>
              </w:rPr>
              <w:t>。</w:t>
            </w:r>
            <w:r>
              <w:rPr>
                <w:rFonts w:hint="eastAsia" w:ascii="宋体" w:hAnsi="宋体"/>
                <w:sz w:val="18"/>
                <w:szCs w:val="18"/>
              </w:rPr>
              <w:t>（9）业财融合筹资管理综合案例分析</w:t>
            </w:r>
            <w:r>
              <w:rPr>
                <w:rFonts w:hint="eastAsia" w:ascii="宋体" w:hAnsi="宋体"/>
                <w:sz w:val="18"/>
                <w:szCs w:val="18"/>
                <w:lang w:eastAsia="zh-CN"/>
              </w:rPr>
              <w:t>。</w:t>
            </w:r>
          </w:p>
        </w:tc>
      </w:tr>
      <w:tr w14:paraId="08D7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83" w:hRule="atLeast"/>
          <w:jc w:val="center"/>
        </w:trPr>
        <w:tc>
          <w:tcPr>
            <w:tcW w:w="170" w:type="pct"/>
            <w:vMerge w:val="continue"/>
            <w:vAlign w:val="center"/>
          </w:tcPr>
          <w:p w14:paraId="1123A1CE">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58" w:type="pct"/>
            <w:shd w:val="clear" w:color="auto" w:fill="auto"/>
            <w:vAlign w:val="center"/>
          </w:tcPr>
          <w:p w14:paraId="1F031BE7">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业财融合投资管理</w:t>
            </w:r>
          </w:p>
        </w:tc>
        <w:tc>
          <w:tcPr>
            <w:tcW w:w="102" w:type="pct"/>
            <w:vAlign w:val="center"/>
          </w:tcPr>
          <w:p w14:paraId="55522C02">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必修</w:t>
            </w:r>
          </w:p>
        </w:tc>
        <w:tc>
          <w:tcPr>
            <w:tcW w:w="102" w:type="pct"/>
            <w:shd w:val="clear" w:color="auto" w:fill="auto"/>
            <w:vAlign w:val="center"/>
          </w:tcPr>
          <w:p w14:paraId="4C6F2051">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3" w:type="pct"/>
            <w:shd w:val="clear" w:color="auto" w:fill="auto"/>
            <w:vAlign w:val="center"/>
          </w:tcPr>
          <w:p w14:paraId="5E37AA3A">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4</w:t>
            </w:r>
          </w:p>
        </w:tc>
        <w:tc>
          <w:tcPr>
            <w:tcW w:w="103" w:type="pct"/>
            <w:shd w:val="clear" w:color="auto" w:fill="auto"/>
            <w:vAlign w:val="center"/>
          </w:tcPr>
          <w:p w14:paraId="188A5501">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64</w:t>
            </w:r>
          </w:p>
        </w:tc>
        <w:tc>
          <w:tcPr>
            <w:tcW w:w="103" w:type="pct"/>
            <w:shd w:val="clear" w:color="auto" w:fill="auto"/>
            <w:vAlign w:val="center"/>
          </w:tcPr>
          <w:p w14:paraId="0DEBCA5A">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29BEA102">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11339A0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3" w:type="pct"/>
            <w:shd w:val="clear" w:color="auto" w:fill="auto"/>
            <w:vAlign w:val="center"/>
          </w:tcPr>
          <w:p w14:paraId="03A9B3C7">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4</w:t>
            </w:r>
          </w:p>
        </w:tc>
        <w:tc>
          <w:tcPr>
            <w:tcW w:w="157" w:type="pct"/>
            <w:shd w:val="clear" w:color="auto" w:fill="auto"/>
            <w:vAlign w:val="center"/>
          </w:tcPr>
          <w:p w14:paraId="20627E9C">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74" w:type="pct"/>
            <w:shd w:val="clear" w:color="auto" w:fill="auto"/>
            <w:vAlign w:val="center"/>
          </w:tcPr>
          <w:p w14:paraId="1620642F">
            <w:pPr>
              <w:spacing w:line="240" w:lineRule="exact"/>
              <w:jc w:val="left"/>
              <w:rPr>
                <w:rFonts w:hint="eastAsia" w:ascii="宋体" w:hAnsi="宋体"/>
                <w:sz w:val="18"/>
                <w:szCs w:val="18"/>
              </w:rPr>
            </w:pPr>
            <w:r>
              <w:rPr>
                <w:rFonts w:hint="eastAsia" w:ascii="宋体" w:hAnsi="宋体"/>
                <w:b/>
                <w:bCs/>
                <w:sz w:val="18"/>
                <w:szCs w:val="18"/>
                <w:lang w:val="en-US" w:eastAsia="zh-CN"/>
              </w:rPr>
              <w:t>1</w:t>
            </w:r>
            <w:r>
              <w:rPr>
                <w:rFonts w:hint="eastAsia" w:ascii="宋体" w:hAnsi="宋体"/>
                <w:b/>
                <w:bCs/>
                <w:sz w:val="18"/>
                <w:szCs w:val="18"/>
              </w:rPr>
              <w:t>.知识目标：</w:t>
            </w:r>
            <w:r>
              <w:rPr>
                <w:rFonts w:hint="eastAsia" w:ascii="宋体" w:hAnsi="宋体"/>
                <w:sz w:val="18"/>
                <w:szCs w:val="18"/>
              </w:rPr>
              <w:t>了解大数据投资会计的基本概念和发展历程。理解大数据技术在投资会计中的应用原理。掌握大数据投资的分类及其管理与核算方法。掌握投资决策方法，包括净现值法、现值指数法、内含报酬率法等。掌握生产经营性投资、财务性投资和战略性投资的特点和决策方法。掌握风险管控在不同投资阶段中的关键作用和方法。掌握投资计划与预算的编制方法和要求。熟悉利用大数据技术评估投资项目的经济性、技术可行性和风险。掌握投资执行与管理的流程，包括团队组织、招投标管理、合同执行等。熟悉投资完工与结算的流程和要求。掌握投资结转与核算的流程，包括竣工决算报告和审计报告的编制。熟悉固定资产、研发支出和无形资产、交易性金融资产、债权投资、长期股权投资和投资性房地产的核算方法。掌握投资分析与评价的方法，包括趋势分析、结构分析、比率分析等。熟悉编制投资分析报告的流程和要点。</w:t>
            </w:r>
            <w:r>
              <w:rPr>
                <w:rFonts w:hint="eastAsia" w:ascii="宋体" w:hAnsi="宋体"/>
                <w:b/>
                <w:bCs/>
                <w:sz w:val="18"/>
                <w:szCs w:val="18"/>
                <w:lang w:val="en-US" w:eastAsia="zh-CN"/>
              </w:rPr>
              <w:t>2</w:t>
            </w:r>
            <w:r>
              <w:rPr>
                <w:rFonts w:hint="eastAsia" w:ascii="宋体" w:hAnsi="宋体"/>
                <w:b/>
                <w:bCs/>
                <w:sz w:val="18"/>
                <w:szCs w:val="18"/>
              </w:rPr>
              <w:t>.能力目标：</w:t>
            </w:r>
            <w:r>
              <w:rPr>
                <w:rFonts w:hint="eastAsia" w:ascii="宋体" w:hAnsi="宋体"/>
                <w:sz w:val="18"/>
                <w:szCs w:val="18"/>
              </w:rPr>
              <w:t>能够运用大数据工具进行投资项目的财务分析和市场研究。能够编制和执行详细的投资计划与预算。能够管理投资项目的全周期，包括招标采购、合同签订和项目实施。能够识别和评估投资项目中的风险，并制定相应的风险控制措施。能够进行投资项目的完工验收和结算工作。能够对固定资产、无形资产、金融资产等进行准确核算。能够运用多种分析方法对投资项目进行绩效评价。能够撰写专业的投资分析报告，为决策提供支持。能够对投资项目的成本和收益进行预测和分析，为投资决策提供数据支持。能够利用大数据技术优化投资决策过程，提高决策效率和准确性。</w:t>
            </w:r>
            <w:r>
              <w:rPr>
                <w:rFonts w:hint="eastAsia" w:ascii="宋体" w:hAnsi="宋体"/>
                <w:b/>
                <w:bCs/>
                <w:sz w:val="18"/>
                <w:szCs w:val="18"/>
                <w:lang w:val="en-US" w:eastAsia="zh-CN"/>
              </w:rPr>
              <w:t>3</w:t>
            </w:r>
            <w:r>
              <w:rPr>
                <w:rFonts w:hint="eastAsia" w:ascii="宋体" w:hAnsi="宋体"/>
                <w:b/>
                <w:bCs/>
                <w:sz w:val="18"/>
                <w:szCs w:val="18"/>
              </w:rPr>
              <w:t>.素质目标</w:t>
            </w:r>
            <w:r>
              <w:rPr>
                <w:rFonts w:hint="eastAsia" w:ascii="宋体" w:hAnsi="宋体"/>
                <w:sz w:val="18"/>
                <w:szCs w:val="18"/>
              </w:rPr>
              <w:t>：培养批判性思维，能够客观分析投资数据和信息。提升决策能力，能够在不确定性中做出合理投资选择。具有工匠精神、开拓精神、创新意识，能够迅速应对市场和行业的变化。具有大数据思维、系统性思维和全局观，能够洞悉数字背后的业务逻辑。树立高质量发展理念，具备市场风险意识和成本效益意识。具备良好的职业道德，能够遵守投资行业的规范和标准。</w:t>
            </w:r>
          </w:p>
          <w:p w14:paraId="3E4C88C2">
            <w:pPr>
              <w:spacing w:line="240" w:lineRule="exact"/>
              <w:jc w:val="left"/>
              <w:rPr>
                <w:rFonts w:hint="eastAsia" w:ascii="宋体" w:hAnsi="宋体"/>
                <w:sz w:val="18"/>
                <w:szCs w:val="18"/>
              </w:rPr>
            </w:pPr>
          </w:p>
        </w:tc>
        <w:tc>
          <w:tcPr>
            <w:tcW w:w="1214" w:type="pct"/>
            <w:vAlign w:val="center"/>
          </w:tcPr>
          <w:p w14:paraId="6A1F1921">
            <w:pPr>
              <w:spacing w:line="240" w:lineRule="exact"/>
              <w:jc w:val="left"/>
              <w:rPr>
                <w:rFonts w:hint="eastAsia" w:ascii="宋体" w:hAnsi="宋体" w:eastAsia="宋体"/>
                <w:sz w:val="18"/>
                <w:szCs w:val="18"/>
                <w:lang w:eastAsia="zh-CN"/>
              </w:rPr>
            </w:pPr>
            <w:r>
              <w:rPr>
                <w:rFonts w:hint="eastAsia" w:ascii="宋体" w:hAnsi="宋体"/>
                <w:sz w:val="18"/>
                <w:szCs w:val="18"/>
              </w:rPr>
              <w:t>（1） 投资会计原理与认知：投资活动认知、投资会计原理、投资决策方法</w:t>
            </w:r>
            <w:r>
              <w:rPr>
                <w:rFonts w:hint="eastAsia" w:ascii="宋体" w:hAnsi="宋体"/>
                <w:sz w:val="18"/>
                <w:szCs w:val="18"/>
                <w:lang w:eastAsia="zh-CN"/>
              </w:rPr>
              <w:t>。</w:t>
            </w:r>
            <w:r>
              <w:rPr>
                <w:rFonts w:hint="eastAsia" w:ascii="宋体" w:hAnsi="宋体"/>
                <w:sz w:val="18"/>
                <w:szCs w:val="18"/>
              </w:rPr>
              <w:t>（2）投资计划与预算：投资计划、投资预算</w:t>
            </w:r>
            <w:r>
              <w:rPr>
                <w:rFonts w:hint="eastAsia" w:ascii="宋体" w:hAnsi="宋体"/>
                <w:sz w:val="18"/>
                <w:szCs w:val="18"/>
                <w:lang w:eastAsia="zh-CN"/>
              </w:rPr>
              <w:t>。</w:t>
            </w:r>
            <w:r>
              <w:rPr>
                <w:rFonts w:hint="eastAsia" w:ascii="宋体" w:hAnsi="宋体"/>
                <w:sz w:val="18"/>
                <w:szCs w:val="18"/>
              </w:rPr>
              <w:t>（3）投资执行与管理：经营性投资的执行与管理、财务性投资的执行与管理、战略性投资的执行与管理</w:t>
            </w:r>
            <w:r>
              <w:rPr>
                <w:rFonts w:hint="eastAsia" w:ascii="宋体" w:hAnsi="宋体"/>
                <w:sz w:val="18"/>
                <w:szCs w:val="18"/>
                <w:lang w:eastAsia="zh-CN"/>
              </w:rPr>
              <w:t>。</w:t>
            </w:r>
            <w:r>
              <w:rPr>
                <w:rFonts w:hint="eastAsia" w:ascii="宋体" w:hAnsi="宋体"/>
                <w:sz w:val="18"/>
                <w:szCs w:val="18"/>
              </w:rPr>
              <w:t>（4）投资与结算：完工前的款项支付、完工后的结算准备、结算工程款</w:t>
            </w:r>
            <w:r>
              <w:rPr>
                <w:rFonts w:hint="eastAsia" w:ascii="宋体" w:hAnsi="宋体"/>
                <w:sz w:val="18"/>
                <w:szCs w:val="18"/>
                <w:lang w:eastAsia="zh-CN"/>
              </w:rPr>
              <w:t>。</w:t>
            </w:r>
            <w:r>
              <w:rPr>
                <w:rFonts w:hint="eastAsia" w:ascii="宋体" w:hAnsi="宋体"/>
                <w:sz w:val="18"/>
                <w:szCs w:val="18"/>
              </w:rPr>
              <w:t>（5）投资决算与核算：投资决算、投资核算</w:t>
            </w:r>
            <w:r>
              <w:rPr>
                <w:rFonts w:hint="eastAsia" w:ascii="宋体" w:hAnsi="宋体"/>
                <w:sz w:val="18"/>
                <w:szCs w:val="18"/>
                <w:lang w:eastAsia="zh-CN"/>
              </w:rPr>
              <w:t>。</w:t>
            </w:r>
            <w:r>
              <w:rPr>
                <w:rFonts w:hint="eastAsia" w:ascii="宋体" w:hAnsi="宋体"/>
                <w:sz w:val="18"/>
                <w:szCs w:val="18"/>
              </w:rPr>
              <w:t>（6）投资考核与评价：经营性投资项目的考核与评价、财务性投资考核与评价</w:t>
            </w:r>
            <w:r>
              <w:rPr>
                <w:rFonts w:hint="eastAsia" w:ascii="宋体" w:hAnsi="宋体"/>
                <w:sz w:val="18"/>
                <w:szCs w:val="18"/>
                <w:lang w:eastAsia="zh-CN"/>
              </w:rPr>
              <w:t>。</w:t>
            </w:r>
            <w:r>
              <w:rPr>
                <w:rFonts w:hint="eastAsia" w:ascii="宋体" w:hAnsi="宋体"/>
                <w:sz w:val="18"/>
                <w:szCs w:val="18"/>
              </w:rPr>
              <w:t>（7）业财融合投资管理综合案例分析</w:t>
            </w:r>
            <w:r>
              <w:rPr>
                <w:rFonts w:hint="eastAsia" w:ascii="宋体" w:hAnsi="宋体"/>
                <w:sz w:val="18"/>
                <w:szCs w:val="18"/>
                <w:lang w:eastAsia="zh-CN"/>
              </w:rPr>
              <w:t>。</w:t>
            </w:r>
          </w:p>
          <w:p w14:paraId="46140385">
            <w:pPr>
              <w:pStyle w:val="24"/>
              <w:spacing w:line="240" w:lineRule="auto"/>
              <w:ind w:left="105" w:leftChars="50" w:right="105" w:rightChars="50" w:firstLine="0" w:firstLineChars="0"/>
              <w:rPr>
                <w:rFonts w:hint="eastAsia"/>
                <w:sz w:val="18"/>
                <w:szCs w:val="18"/>
              </w:rPr>
            </w:pPr>
          </w:p>
        </w:tc>
      </w:tr>
      <w:tr w14:paraId="05388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 w:type="pct"/>
            <w:vMerge w:val="continue"/>
            <w:vAlign w:val="center"/>
          </w:tcPr>
          <w:p w14:paraId="5BF21AB4">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58" w:type="pct"/>
            <w:shd w:val="clear" w:color="auto" w:fill="auto"/>
            <w:vAlign w:val="center"/>
          </w:tcPr>
          <w:p w14:paraId="71F74D9E">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业财融合分配管理</w:t>
            </w:r>
          </w:p>
        </w:tc>
        <w:tc>
          <w:tcPr>
            <w:tcW w:w="102" w:type="pct"/>
            <w:vAlign w:val="center"/>
          </w:tcPr>
          <w:p w14:paraId="3769AB9F">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必修</w:t>
            </w:r>
          </w:p>
        </w:tc>
        <w:tc>
          <w:tcPr>
            <w:tcW w:w="102" w:type="pct"/>
            <w:shd w:val="clear" w:color="auto" w:fill="auto"/>
            <w:vAlign w:val="center"/>
          </w:tcPr>
          <w:p w14:paraId="6BE9CB1A">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3" w:type="pct"/>
            <w:shd w:val="clear" w:color="auto" w:fill="auto"/>
            <w:vAlign w:val="center"/>
          </w:tcPr>
          <w:p w14:paraId="03218435">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4</w:t>
            </w:r>
          </w:p>
        </w:tc>
        <w:tc>
          <w:tcPr>
            <w:tcW w:w="103" w:type="pct"/>
            <w:shd w:val="clear" w:color="auto" w:fill="auto"/>
            <w:vAlign w:val="center"/>
          </w:tcPr>
          <w:p w14:paraId="37D99E20">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64</w:t>
            </w:r>
          </w:p>
        </w:tc>
        <w:tc>
          <w:tcPr>
            <w:tcW w:w="103" w:type="pct"/>
            <w:shd w:val="clear" w:color="auto" w:fill="auto"/>
            <w:vAlign w:val="center"/>
          </w:tcPr>
          <w:p w14:paraId="3294064C">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73C265D3">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03C9562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考试</w:t>
            </w:r>
          </w:p>
        </w:tc>
        <w:tc>
          <w:tcPr>
            <w:tcW w:w="103" w:type="pct"/>
            <w:shd w:val="clear" w:color="auto" w:fill="auto"/>
            <w:vAlign w:val="center"/>
          </w:tcPr>
          <w:p w14:paraId="5DFACB71">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4</w:t>
            </w:r>
          </w:p>
        </w:tc>
        <w:tc>
          <w:tcPr>
            <w:tcW w:w="157" w:type="pct"/>
            <w:shd w:val="clear" w:color="auto" w:fill="auto"/>
            <w:vAlign w:val="center"/>
          </w:tcPr>
          <w:p w14:paraId="795B8D82">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374" w:type="pct"/>
            <w:shd w:val="clear" w:color="auto" w:fill="auto"/>
            <w:vAlign w:val="center"/>
          </w:tcPr>
          <w:p w14:paraId="3B08E72E">
            <w:pPr>
              <w:spacing w:line="240" w:lineRule="exact"/>
              <w:jc w:val="left"/>
              <w:rPr>
                <w:rFonts w:hint="eastAsia" w:ascii="宋体" w:hAnsi="宋体"/>
                <w:sz w:val="18"/>
                <w:szCs w:val="18"/>
              </w:rPr>
            </w:pPr>
            <w:r>
              <w:rPr>
                <w:rFonts w:hint="eastAsia" w:ascii="宋体" w:hAnsi="宋体"/>
                <w:b/>
                <w:bCs/>
                <w:sz w:val="18"/>
                <w:szCs w:val="18"/>
                <w:lang w:val="en-US" w:eastAsia="zh-CN"/>
              </w:rPr>
              <w:t>1</w:t>
            </w:r>
            <w:r>
              <w:rPr>
                <w:rFonts w:hint="eastAsia" w:ascii="宋体" w:hAnsi="宋体"/>
                <w:b/>
                <w:bCs/>
                <w:sz w:val="18"/>
                <w:szCs w:val="18"/>
              </w:rPr>
              <w:t>.知识目标</w:t>
            </w:r>
            <w:r>
              <w:rPr>
                <w:rFonts w:hint="eastAsia" w:ascii="宋体" w:hAnsi="宋体"/>
                <w:sz w:val="18"/>
                <w:szCs w:val="18"/>
              </w:rPr>
              <w:t>：了解分配体系的主要组成部分，从主体、客体和内容三对象把握分配的体系；理解财务报表、业务报表与企业分配决策的关系；掌握企业战略分配的基本流程，理解公司战略管理的基本概念和原则；掌握我国现行的税费政策和税费体系，了解税费计算、申报和缴纳的具体流程；掌握薪酬相关基本概念及设计规则与计算；熟悉绩效设定的基本方法和注意事项；掌握利润分配的基本原则、方法和程序，掌握不同利润分配方案的特点和应用场景；熟悉业财税分配管控的基本概念、关键管控点；掌握公司、部门、项目分配的核算内容与核算方法；熟悉企业绩效管理评价基本要求。</w:t>
            </w:r>
            <w:r>
              <w:rPr>
                <w:rFonts w:hint="eastAsia" w:ascii="宋体" w:hAnsi="宋体"/>
                <w:b/>
                <w:bCs/>
                <w:sz w:val="18"/>
                <w:szCs w:val="18"/>
                <w:lang w:val="en-US" w:eastAsia="zh-CN"/>
              </w:rPr>
              <w:t>2</w:t>
            </w:r>
            <w:r>
              <w:rPr>
                <w:rFonts w:hint="eastAsia" w:ascii="宋体" w:hAnsi="宋体"/>
                <w:b/>
                <w:bCs/>
                <w:sz w:val="18"/>
                <w:szCs w:val="18"/>
              </w:rPr>
              <w:t>.能力目标：</w:t>
            </w:r>
            <w:r>
              <w:rPr>
                <w:rFonts w:hint="eastAsia" w:ascii="宋体" w:hAnsi="宋体"/>
                <w:sz w:val="18"/>
                <w:szCs w:val="18"/>
              </w:rPr>
              <w:t>能够从分配角度建立起管理与决策思维，在面对复杂的分配情境时，进行权衡和决策，以达到公平与效率的平衡；能够使用各种财务比率对企业财务状况和经营成果进行评估，明白财务报表如何为投资者、债权人、管理层等利益相关者提供决策依据；能够通过财务报表分析评估企业的经营绩效、财务稳定性及未来发展潜力，并根据报表分析结果提出分配决策优化策略；能够根据企业实际情况，制定符合企业战略目标的资源分配方案。能够独立完成税费的计算和申报工作，使企业遵守税收法律法规，有效规避税务风险；能够独立完成薪酬管理与计算，明确薪酬的组成部分及其比例，确保薪酬构成的合理性和有效性；能够掌握绩效设定的基本方法和理念；能够根据企业财务状况和市场环境，做出合理的利润分配决策，平衡企业短期和长期利益。能够根据企业实际情况，合理进行业务分配，优化资源配置，提高业务运营效率。能够设计并实施一套有效的绩效管理评价方案，对部门和员工进行绩效分析并提出管理优化建议。</w:t>
            </w:r>
            <w:r>
              <w:rPr>
                <w:rFonts w:hint="eastAsia" w:ascii="宋体" w:hAnsi="宋体"/>
                <w:b/>
                <w:bCs/>
                <w:sz w:val="18"/>
                <w:szCs w:val="18"/>
                <w:lang w:val="en-US" w:eastAsia="zh-CN"/>
              </w:rPr>
              <w:t>3</w:t>
            </w:r>
            <w:r>
              <w:rPr>
                <w:rFonts w:hint="eastAsia" w:ascii="宋体" w:hAnsi="宋体"/>
                <w:b/>
                <w:bCs/>
                <w:sz w:val="18"/>
                <w:szCs w:val="18"/>
              </w:rPr>
              <w:t>.素质目标：</w:t>
            </w:r>
            <w:r>
              <w:rPr>
                <w:rFonts w:hint="eastAsia" w:ascii="宋体" w:hAnsi="宋体"/>
                <w:sz w:val="18"/>
                <w:szCs w:val="18"/>
              </w:rPr>
              <w:t>备较强的语言表达、团队合作与沟通协调能力；具有工匠精神、开拓精神、创新意识，注重客户服务、合作共赢；树立高质量发展理念，具备市场风险意识和成本效益意识；具有大数据思维、系统性思维和全局观，能够洞悉数字背后的业务逻辑；具有良好的职业道德，依法纳税，诚信经营。</w:t>
            </w:r>
          </w:p>
          <w:p w14:paraId="35A07E68">
            <w:pPr>
              <w:pStyle w:val="24"/>
              <w:spacing w:line="240" w:lineRule="auto"/>
              <w:ind w:right="105" w:rightChars="50"/>
              <w:rPr>
                <w:rFonts w:hint="eastAsia" w:asciiTheme="minorEastAsia" w:hAnsiTheme="minorEastAsia" w:eastAsiaTheme="minorEastAsia" w:cstheme="minorEastAsia"/>
                <w:sz w:val="18"/>
                <w:szCs w:val="18"/>
                <w:lang w:val="en-US"/>
              </w:rPr>
            </w:pPr>
          </w:p>
          <w:p w14:paraId="167A2F31">
            <w:pPr>
              <w:pStyle w:val="24"/>
              <w:spacing w:line="240" w:lineRule="auto"/>
              <w:ind w:right="105" w:rightChars="50"/>
              <w:rPr>
                <w:rFonts w:hint="eastAsia" w:asciiTheme="minorEastAsia" w:hAnsiTheme="minorEastAsia" w:eastAsiaTheme="minorEastAsia" w:cstheme="minorEastAsia"/>
                <w:sz w:val="18"/>
                <w:szCs w:val="18"/>
                <w:lang w:val="en-US"/>
              </w:rPr>
            </w:pPr>
          </w:p>
        </w:tc>
        <w:tc>
          <w:tcPr>
            <w:tcW w:w="1214" w:type="pct"/>
            <w:vAlign w:val="center"/>
          </w:tcPr>
          <w:p w14:paraId="49A04251">
            <w:pPr>
              <w:spacing w:line="240" w:lineRule="exact"/>
              <w:jc w:val="left"/>
              <w:rPr>
                <w:rFonts w:hint="eastAsia" w:ascii="宋体" w:hAnsi="宋体" w:eastAsia="宋体" w:cs="Times New Roman"/>
                <w:sz w:val="18"/>
                <w:szCs w:val="18"/>
                <w:lang w:eastAsia="zh-CN"/>
              </w:rPr>
            </w:pPr>
            <w:r>
              <w:rPr>
                <w:rFonts w:hint="eastAsia" w:ascii="宋体" w:hAnsi="宋体" w:eastAsia="宋体" w:cs="Times New Roman"/>
                <w:sz w:val="18"/>
                <w:szCs w:val="18"/>
              </w:rPr>
              <w:t>（1）分配的原理：案例分析、分配定义、分配对象、分配原则</w:t>
            </w:r>
            <w:r>
              <w:rPr>
                <w:rFonts w:hint="eastAsia" w:ascii="宋体" w:hAnsi="宋体" w:cs="Times New Roman"/>
                <w:sz w:val="18"/>
                <w:szCs w:val="18"/>
                <w:lang w:eastAsia="zh-CN"/>
              </w:rPr>
              <w:t>。</w:t>
            </w:r>
            <w:r>
              <w:rPr>
                <w:rFonts w:hint="eastAsia" w:ascii="宋体" w:hAnsi="宋体" w:eastAsia="宋体" w:cs="Times New Roman"/>
                <w:sz w:val="18"/>
                <w:szCs w:val="18"/>
              </w:rPr>
              <w:t>（2）分配的依据：财务报表依据、业务报表依据、企业目标依据</w:t>
            </w:r>
            <w:r>
              <w:rPr>
                <w:rFonts w:hint="eastAsia" w:ascii="宋体" w:hAnsi="宋体" w:eastAsia="宋体" w:cs="Times New Roman"/>
                <w:sz w:val="18"/>
                <w:szCs w:val="18"/>
                <w:lang w:eastAsia="zh-CN"/>
              </w:rPr>
              <w:t>。</w:t>
            </w:r>
            <w:r>
              <w:rPr>
                <w:rFonts w:hint="eastAsia" w:ascii="宋体" w:hAnsi="宋体" w:eastAsia="宋体" w:cs="Times New Roman"/>
                <w:sz w:val="18"/>
                <w:szCs w:val="18"/>
              </w:rPr>
              <w:t>（3）分配的方案：战略层分配方案、经营层分配方案、员工层分配方案</w:t>
            </w:r>
            <w:r>
              <w:rPr>
                <w:rFonts w:hint="eastAsia" w:ascii="宋体" w:hAnsi="宋体" w:eastAsia="宋体" w:cs="Times New Roman"/>
                <w:sz w:val="18"/>
                <w:szCs w:val="18"/>
                <w:lang w:eastAsia="zh-CN"/>
              </w:rPr>
              <w:t>。</w:t>
            </w:r>
            <w:r>
              <w:rPr>
                <w:rFonts w:hint="eastAsia" w:ascii="宋体" w:hAnsi="宋体" w:eastAsia="宋体" w:cs="Times New Roman"/>
                <w:sz w:val="18"/>
                <w:szCs w:val="18"/>
              </w:rPr>
              <w:t>（4）分配的管控：业财税分配管控、决策分配管控</w:t>
            </w:r>
            <w:r>
              <w:rPr>
                <w:rFonts w:hint="eastAsia" w:ascii="宋体" w:hAnsi="宋体" w:eastAsia="宋体" w:cs="Times New Roman"/>
                <w:sz w:val="18"/>
                <w:szCs w:val="18"/>
                <w:lang w:eastAsia="zh-CN"/>
              </w:rPr>
              <w:t>。</w:t>
            </w:r>
            <w:r>
              <w:rPr>
                <w:rFonts w:hint="eastAsia" w:ascii="宋体" w:hAnsi="宋体" w:eastAsia="宋体" w:cs="Times New Roman"/>
                <w:sz w:val="18"/>
                <w:szCs w:val="18"/>
              </w:rPr>
              <w:t>（5）分配的核算：公司分配核算、部门分配核算、项目分配核算</w:t>
            </w:r>
            <w:r>
              <w:rPr>
                <w:rFonts w:hint="eastAsia" w:ascii="宋体" w:hAnsi="宋体" w:eastAsia="宋体" w:cs="Times New Roman"/>
                <w:sz w:val="18"/>
                <w:szCs w:val="18"/>
                <w:lang w:eastAsia="zh-CN"/>
              </w:rPr>
              <w:t>。</w:t>
            </w:r>
            <w:r>
              <w:rPr>
                <w:rFonts w:hint="eastAsia" w:ascii="宋体" w:hAnsi="宋体" w:eastAsia="宋体" w:cs="Times New Roman"/>
                <w:sz w:val="18"/>
                <w:szCs w:val="18"/>
              </w:rPr>
              <w:t>（6）分配的评价：财务指标评价、业务指标评价、绩效管理评价</w:t>
            </w:r>
            <w:r>
              <w:rPr>
                <w:rFonts w:hint="eastAsia" w:ascii="宋体" w:hAnsi="宋体" w:eastAsia="宋体" w:cs="Times New Roman"/>
                <w:sz w:val="18"/>
                <w:szCs w:val="18"/>
                <w:lang w:eastAsia="zh-CN"/>
              </w:rPr>
              <w:t>。</w:t>
            </w:r>
            <w:r>
              <w:rPr>
                <w:rFonts w:hint="eastAsia" w:ascii="宋体" w:hAnsi="宋体" w:eastAsia="宋体" w:cs="Times New Roman"/>
                <w:sz w:val="18"/>
                <w:szCs w:val="18"/>
              </w:rPr>
              <w:t>（7）业财融合分配管理综合</w:t>
            </w:r>
            <w:r>
              <w:rPr>
                <w:rFonts w:hint="eastAsia" w:ascii="宋体" w:hAnsi="宋体" w:eastAsia="宋体" w:cs="Times New Roman"/>
                <w:sz w:val="18"/>
                <w:szCs w:val="18"/>
                <w:lang w:eastAsia="zh-CN"/>
              </w:rPr>
              <w:t>。</w:t>
            </w:r>
          </w:p>
          <w:p w14:paraId="241CF039">
            <w:pPr>
              <w:adjustRightInd w:val="0"/>
              <w:snapToGrid w:val="0"/>
              <w:spacing w:line="240" w:lineRule="exact"/>
              <w:ind w:firstLine="180" w:firstLineChars="100"/>
              <w:rPr>
                <w:sz w:val="18"/>
                <w:szCs w:val="18"/>
              </w:rPr>
            </w:pPr>
          </w:p>
        </w:tc>
      </w:tr>
      <w:tr w14:paraId="5AAE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 w:type="pct"/>
            <w:vMerge w:val="continue"/>
            <w:vAlign w:val="center"/>
          </w:tcPr>
          <w:p w14:paraId="6501038A">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58" w:type="pct"/>
            <w:shd w:val="clear" w:color="auto" w:fill="auto"/>
            <w:vAlign w:val="center"/>
          </w:tcPr>
          <w:p w14:paraId="72F1BCDE">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业财税综合分析</w:t>
            </w:r>
          </w:p>
        </w:tc>
        <w:tc>
          <w:tcPr>
            <w:tcW w:w="102" w:type="pct"/>
            <w:vAlign w:val="center"/>
          </w:tcPr>
          <w:p w14:paraId="3EE77487">
            <w:pPr>
              <w:pStyle w:val="24"/>
              <w:spacing w:line="240" w:lineRule="auto"/>
              <w:ind w:left="0" w:firstLine="0" w:firstLineChars="0"/>
              <w:jc w:val="center"/>
              <w:rPr>
                <w:rFonts w:hint="eastAsia" w:asciiTheme="minorEastAsia" w:hAnsiTheme="minorEastAsia" w:eastAsiaTheme="minorEastAsia"/>
                <w:sz w:val="18"/>
                <w:szCs w:val="18"/>
                <w:lang w:val="en-US"/>
              </w:rPr>
            </w:pPr>
            <w:r>
              <w:rPr>
                <w:rFonts w:hint="eastAsia" w:asciiTheme="minorEastAsia" w:hAnsiTheme="minorEastAsia" w:eastAsiaTheme="minorEastAsia" w:cstheme="minorEastAsia"/>
                <w:sz w:val="18"/>
                <w:szCs w:val="18"/>
                <w:lang w:val="en-US"/>
              </w:rPr>
              <w:t>必修</w:t>
            </w:r>
          </w:p>
        </w:tc>
        <w:tc>
          <w:tcPr>
            <w:tcW w:w="102" w:type="pct"/>
            <w:shd w:val="clear" w:color="auto" w:fill="auto"/>
            <w:vAlign w:val="center"/>
          </w:tcPr>
          <w:p w14:paraId="506E3DD4">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3" w:type="pct"/>
            <w:shd w:val="clear" w:color="auto" w:fill="auto"/>
            <w:vAlign w:val="center"/>
          </w:tcPr>
          <w:p w14:paraId="3046BF3D">
            <w:pPr>
              <w:pStyle w:val="24"/>
              <w:spacing w:line="240" w:lineRule="auto"/>
              <w:ind w:left="0" w:firstLine="0" w:firstLineChars="0"/>
              <w:jc w:val="center"/>
              <w:rPr>
                <w:rFonts w:hint="eastAsia" w:asciiTheme="minorEastAsia" w:hAnsiTheme="minorEastAsia" w:eastAsiaTheme="minorEastAsia"/>
                <w:sz w:val="18"/>
                <w:szCs w:val="18"/>
                <w:lang w:eastAsia="en-US"/>
              </w:rPr>
            </w:pPr>
            <w:r>
              <w:rPr>
                <w:rFonts w:hint="eastAsia" w:asciiTheme="minorEastAsia" w:hAnsiTheme="minorEastAsia" w:eastAsiaTheme="minorEastAsia" w:cstheme="minorEastAsia"/>
                <w:sz w:val="18"/>
                <w:szCs w:val="18"/>
                <w:lang w:val="en-US"/>
              </w:rPr>
              <w:t>4</w:t>
            </w:r>
          </w:p>
        </w:tc>
        <w:tc>
          <w:tcPr>
            <w:tcW w:w="103" w:type="pct"/>
            <w:shd w:val="clear" w:color="auto" w:fill="auto"/>
            <w:vAlign w:val="center"/>
          </w:tcPr>
          <w:p w14:paraId="25235D1B">
            <w:pPr>
              <w:pStyle w:val="24"/>
              <w:spacing w:line="240" w:lineRule="auto"/>
              <w:ind w:left="0" w:firstLine="0" w:firstLineChars="0"/>
              <w:jc w:val="center"/>
              <w:rPr>
                <w:rFonts w:hint="eastAsia" w:asciiTheme="minorEastAsia" w:hAnsiTheme="minorEastAsia" w:eastAsiaTheme="minorEastAsia"/>
                <w:sz w:val="18"/>
                <w:szCs w:val="18"/>
                <w:lang w:eastAsia="en-US"/>
              </w:rPr>
            </w:pPr>
            <w:r>
              <w:rPr>
                <w:rFonts w:hint="eastAsia" w:asciiTheme="minorEastAsia" w:hAnsiTheme="minorEastAsia" w:eastAsiaTheme="minorEastAsia" w:cstheme="minorEastAsia"/>
                <w:sz w:val="18"/>
                <w:szCs w:val="18"/>
                <w:lang w:val="en-US"/>
              </w:rPr>
              <w:t>64</w:t>
            </w:r>
          </w:p>
        </w:tc>
        <w:tc>
          <w:tcPr>
            <w:tcW w:w="103" w:type="pct"/>
            <w:shd w:val="clear" w:color="auto" w:fill="auto"/>
            <w:vAlign w:val="center"/>
          </w:tcPr>
          <w:p w14:paraId="58B79565">
            <w:pPr>
              <w:pStyle w:val="24"/>
              <w:spacing w:line="240" w:lineRule="auto"/>
              <w:ind w:left="0" w:firstLine="0" w:firstLineChars="0"/>
              <w:jc w:val="center"/>
              <w:rPr>
                <w:rFonts w:hint="eastAsia" w:asciiTheme="minorEastAsia" w:hAnsiTheme="minorEastAsia" w:eastAsiaTheme="minorEastAsia"/>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15EB3390">
            <w:pPr>
              <w:pStyle w:val="24"/>
              <w:spacing w:line="240" w:lineRule="auto"/>
              <w:ind w:left="0" w:firstLine="0" w:firstLineChars="0"/>
              <w:jc w:val="center"/>
              <w:rPr>
                <w:rFonts w:hint="eastAsia" w:asciiTheme="minorEastAsia" w:hAnsiTheme="minorEastAsia" w:eastAsiaTheme="minorEastAsia"/>
                <w:sz w:val="18"/>
                <w:szCs w:val="18"/>
                <w:lang w:eastAsia="en-US"/>
              </w:rPr>
            </w:pPr>
            <w:r>
              <w:rPr>
                <w:rFonts w:hint="eastAsia" w:asciiTheme="minorEastAsia" w:hAnsiTheme="minorEastAsia" w:eastAsiaTheme="minorEastAsia" w:cstheme="minorEastAsia"/>
                <w:sz w:val="18"/>
                <w:szCs w:val="18"/>
                <w:lang w:val="en-US"/>
              </w:rPr>
              <w:t>32</w:t>
            </w:r>
          </w:p>
        </w:tc>
        <w:tc>
          <w:tcPr>
            <w:tcW w:w="103" w:type="pct"/>
            <w:shd w:val="clear" w:color="auto" w:fill="auto"/>
            <w:vAlign w:val="center"/>
          </w:tcPr>
          <w:p w14:paraId="7B25D60E">
            <w:pPr>
              <w:pStyle w:val="24"/>
              <w:spacing w:line="240" w:lineRule="auto"/>
              <w:ind w:left="0" w:firstLine="0" w:firstLineChars="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考查</w:t>
            </w:r>
          </w:p>
        </w:tc>
        <w:tc>
          <w:tcPr>
            <w:tcW w:w="103" w:type="pct"/>
            <w:shd w:val="clear" w:color="auto" w:fill="auto"/>
            <w:vAlign w:val="center"/>
          </w:tcPr>
          <w:p w14:paraId="7591C082">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4</w:t>
            </w:r>
          </w:p>
        </w:tc>
        <w:tc>
          <w:tcPr>
            <w:tcW w:w="157" w:type="pct"/>
            <w:shd w:val="clear" w:color="auto" w:fill="auto"/>
            <w:vAlign w:val="center"/>
          </w:tcPr>
          <w:p w14:paraId="73932AF1">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374" w:type="pct"/>
            <w:shd w:val="clear" w:color="auto" w:fill="auto"/>
            <w:vAlign w:val="center"/>
          </w:tcPr>
          <w:p w14:paraId="6C8D9A5C">
            <w:pPr>
              <w:numPr>
                <w:ilvl w:val="0"/>
                <w:numId w:val="0"/>
              </w:numPr>
              <w:spacing w:line="240" w:lineRule="exact"/>
              <w:jc w:val="left"/>
              <w:rPr>
                <w:rFonts w:hint="eastAsia" w:ascii="宋体" w:hAnsi="宋体"/>
                <w:bCs/>
                <w:sz w:val="18"/>
                <w:szCs w:val="18"/>
              </w:rPr>
            </w:pPr>
            <w:r>
              <w:rPr>
                <w:rFonts w:hint="eastAsia" w:ascii="宋体" w:hAnsi="宋体" w:eastAsia="宋体" w:cs="Times New Roman"/>
                <w:b/>
                <w:bCs w:val="0"/>
                <w:kern w:val="2"/>
                <w:sz w:val="18"/>
                <w:szCs w:val="18"/>
                <w:lang w:val="en-US" w:eastAsia="zh-CN" w:bidi="ar-SA"/>
              </w:rPr>
              <w:t>1.</w:t>
            </w:r>
            <w:r>
              <w:rPr>
                <w:rFonts w:hint="eastAsia" w:ascii="宋体" w:hAnsi="宋体"/>
                <w:b/>
                <w:bCs w:val="0"/>
                <w:sz w:val="18"/>
                <w:szCs w:val="18"/>
              </w:rPr>
              <w:t>知识目标：</w:t>
            </w:r>
            <w:r>
              <w:rPr>
                <w:rFonts w:hint="eastAsia" w:ascii="宋体" w:hAnsi="宋体"/>
                <w:bCs/>
                <w:sz w:val="18"/>
                <w:szCs w:val="18"/>
              </w:rPr>
              <w:t>了解定期经营分析基本内容和方法；掌握大数据技术的基础内容及应用方法、数据采集与存储方法、处理与分析技术、可视化与应用领域及数据安全与隐私保护的关键原理；熟悉盈利性分析的指标计算原理和适用情形；熟悉全面资金动态分析的主要内容，掌握资金动态分析的编制步骤和方法；熟悉报价、合同、订单、发货及结算等典型销售业务流程，领会各业务流程节点的关键知识；掌握全面风险预警分析的主要风险控制点；理解战略分析的种类以及应对策略；掌握全面预算的编制方法以及风险控制措施；了解利润的形成过程及影响因素，掌握盈利性指标计算方法；掌握风险预警常用的分析方法；熟悉绩效评价的内容、方法和评价实施要点。</w:t>
            </w:r>
            <w:r>
              <w:rPr>
                <w:rFonts w:hint="eastAsia" w:ascii="宋体" w:hAnsi="宋体"/>
                <w:b/>
                <w:bCs w:val="0"/>
                <w:sz w:val="18"/>
                <w:szCs w:val="18"/>
                <w:lang w:val="en-US" w:eastAsia="zh-CN"/>
              </w:rPr>
              <w:t>2</w:t>
            </w:r>
            <w:r>
              <w:rPr>
                <w:rFonts w:hint="eastAsia" w:ascii="宋体" w:hAnsi="宋体"/>
                <w:b/>
                <w:bCs w:val="0"/>
                <w:sz w:val="18"/>
                <w:szCs w:val="18"/>
              </w:rPr>
              <w:t>.能力目标：</w:t>
            </w:r>
            <w:r>
              <w:rPr>
                <w:rFonts w:hint="eastAsia" w:ascii="宋体" w:hAnsi="宋体"/>
                <w:bCs/>
                <w:sz w:val="18"/>
                <w:szCs w:val="18"/>
              </w:rPr>
              <w:t>能够运用大数据技术和市场分析方法进行多维度的市场分析，并能根据分析结果进行行业分析和竞争对手分析；能够利用定期经营指标进行分析，并识别定期经营过程中的潜在风险并加以控制；能够运用盈利性指标对各产品、生产线、渠道进行盈利性分析，并采取必要的措施保障利润计划的完成；能够选择适当的预算编制方法编制销售收入、销售成本、销售费用等销售预算，建立完整的预算体系，并能根据情况变化适时调整预算；能够运用大数据技术做好供应商、客户的调查工作，并在此基础上合理制定相应政策；能够识别动态资金分析各流程节点的风险因素并加以控制，能够以价值为导向合理选择动态资金模式；能够运用全面风险预警知识做好风险预警工作，有效控制业务流程风险；能够对收入、成本、利润进行正确计算和分析，能够正确计算经营成果；能够对经营执行的结果从财务、业务、税务角度进行深入分析，能够对各层级各部门和人员开展绩效评价，能够将绩效分析与绩效评价的结果应用于优化业务管理，提高综合效率。能够灵活应对各种自由调度场景，包括但不限于市场突变、客户需求快速变化、供应链波动等；能够熟练掌握并灵活运用高度自定义的场景工具，根据企业的实际需求和特定业务流程，进行深度定制和优化。</w:t>
            </w:r>
            <w:r>
              <w:rPr>
                <w:rFonts w:hint="eastAsia" w:ascii="宋体" w:hAnsi="宋体"/>
                <w:b/>
                <w:bCs w:val="0"/>
                <w:sz w:val="18"/>
                <w:szCs w:val="18"/>
                <w:lang w:val="en-US" w:eastAsia="zh-CN"/>
              </w:rPr>
              <w:t>3</w:t>
            </w:r>
            <w:r>
              <w:rPr>
                <w:rFonts w:hint="eastAsia" w:ascii="宋体" w:hAnsi="宋体"/>
                <w:b/>
                <w:bCs w:val="0"/>
                <w:sz w:val="18"/>
                <w:szCs w:val="18"/>
              </w:rPr>
              <w:t>.素质目标</w:t>
            </w:r>
            <w:r>
              <w:rPr>
                <w:rFonts w:hint="eastAsia" w:ascii="宋体" w:hAnsi="宋体"/>
                <w:bCs/>
                <w:sz w:val="18"/>
                <w:szCs w:val="18"/>
              </w:rPr>
              <w:t>：具备较强的语言表达、团队合作与沟通协调能力；具有工匠精神、开拓精神、创新意识，业财税融合、合作共赢；树立高质量发展理念，具备风险预警意识和成本效益意识；具有大数据思维、系统性思维和全局观，能够洞悉数字背后的业务逻辑；具有良好的职业道德，依法纳税，诚信经营。</w:t>
            </w:r>
          </w:p>
          <w:p w14:paraId="06D91698">
            <w:pPr>
              <w:numPr>
                <w:ilvl w:val="0"/>
                <w:numId w:val="0"/>
              </w:numPr>
              <w:spacing w:line="240" w:lineRule="exact"/>
              <w:jc w:val="left"/>
              <w:rPr>
                <w:rFonts w:hint="eastAsia" w:ascii="宋体" w:hAnsi="宋体"/>
                <w:bCs/>
                <w:sz w:val="18"/>
                <w:szCs w:val="18"/>
              </w:rPr>
            </w:pPr>
          </w:p>
        </w:tc>
        <w:tc>
          <w:tcPr>
            <w:tcW w:w="1214" w:type="pct"/>
            <w:vAlign w:val="center"/>
          </w:tcPr>
          <w:p w14:paraId="04D01079">
            <w:pPr>
              <w:spacing w:line="240" w:lineRule="exact"/>
              <w:jc w:val="left"/>
              <w:rPr>
                <w:rFonts w:hint="eastAsia" w:ascii="宋体" w:hAnsi="宋体" w:eastAsia="宋体" w:cs="Times New Roman"/>
                <w:bCs/>
                <w:sz w:val="18"/>
                <w:szCs w:val="18"/>
                <w:lang w:eastAsia="zh-CN"/>
              </w:rPr>
            </w:pPr>
            <w:r>
              <w:rPr>
                <w:rFonts w:hint="eastAsia" w:ascii="宋体" w:hAnsi="宋体" w:eastAsia="宋体" w:cs="Times New Roman"/>
                <w:bCs/>
                <w:sz w:val="18"/>
                <w:szCs w:val="18"/>
                <w:lang w:eastAsia="zh-CN"/>
              </w:rPr>
              <w:t>（1）定期经营分析：外部分析、运营分析、项目进度分析、绩效分析。（2）全面预算分析：经营性预算分析、财务预算分析、专项预算分析、预算的跟踪与执行。（3）盈利性分析：产品结构盈利分析、产品生产线盈利分析、渠道盈利性分析、运营成本分析。（4）全面资金动态分析：动态资金存量分析、动态资金需求分析、动态资金执行分析、动态资金绩效分析。（5）全面预警分析：业务风险预警、财务风险预警、法律政策风险预警、综合价值风险预警。（6）战略分析：战略规划分析、经营战略分析、财务战略分析（7）业财税综合分析综合案例分析。</w:t>
            </w:r>
          </w:p>
          <w:p w14:paraId="3D149BEB">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r>
      <w:tr w14:paraId="66498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70" w:type="pct"/>
            <w:vMerge w:val="continue"/>
            <w:vAlign w:val="center"/>
          </w:tcPr>
          <w:p w14:paraId="6D0FDBE9">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58" w:type="pct"/>
            <w:shd w:val="clear" w:color="auto" w:fill="auto"/>
            <w:vAlign w:val="center"/>
          </w:tcPr>
          <w:p w14:paraId="14746505">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业财税数据治理</w:t>
            </w:r>
          </w:p>
        </w:tc>
        <w:tc>
          <w:tcPr>
            <w:tcW w:w="102" w:type="pct"/>
            <w:vAlign w:val="center"/>
          </w:tcPr>
          <w:p w14:paraId="50542F88">
            <w:pPr>
              <w:pStyle w:val="24"/>
              <w:spacing w:line="240" w:lineRule="auto"/>
              <w:ind w:left="0" w:firstLine="0" w:firstLineChars="0"/>
              <w:jc w:val="center"/>
              <w:rPr>
                <w:rFonts w:hint="eastAsia" w:asciiTheme="minorEastAsia" w:hAnsiTheme="minorEastAsia" w:eastAsiaTheme="minorEastAsia"/>
                <w:sz w:val="18"/>
                <w:szCs w:val="18"/>
                <w:lang w:val="en-US"/>
              </w:rPr>
            </w:pPr>
            <w:r>
              <w:rPr>
                <w:rFonts w:hint="eastAsia" w:asciiTheme="minorEastAsia" w:hAnsiTheme="minorEastAsia" w:eastAsiaTheme="minorEastAsia" w:cstheme="minorEastAsia"/>
                <w:sz w:val="18"/>
                <w:szCs w:val="18"/>
                <w:lang w:val="en-US"/>
              </w:rPr>
              <w:t>必修</w:t>
            </w:r>
          </w:p>
        </w:tc>
        <w:tc>
          <w:tcPr>
            <w:tcW w:w="102" w:type="pct"/>
            <w:shd w:val="clear" w:color="auto" w:fill="auto"/>
            <w:vAlign w:val="center"/>
          </w:tcPr>
          <w:p w14:paraId="48B04F85">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3" w:type="pct"/>
            <w:shd w:val="clear" w:color="auto" w:fill="auto"/>
            <w:vAlign w:val="center"/>
          </w:tcPr>
          <w:p w14:paraId="2EE7765D">
            <w:pPr>
              <w:pStyle w:val="24"/>
              <w:spacing w:line="240" w:lineRule="auto"/>
              <w:ind w:left="0" w:firstLine="0" w:firstLineChars="0"/>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cstheme="minorEastAsia"/>
                <w:sz w:val="18"/>
                <w:szCs w:val="18"/>
                <w:lang w:val="en-US" w:eastAsia="zh-CN"/>
              </w:rPr>
              <w:t>2</w:t>
            </w:r>
          </w:p>
        </w:tc>
        <w:tc>
          <w:tcPr>
            <w:tcW w:w="103" w:type="pct"/>
            <w:shd w:val="clear" w:color="auto" w:fill="auto"/>
            <w:vAlign w:val="center"/>
          </w:tcPr>
          <w:p w14:paraId="00B4877C">
            <w:pPr>
              <w:pStyle w:val="24"/>
              <w:spacing w:line="240" w:lineRule="auto"/>
              <w:ind w:left="0"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cstheme="minorEastAsia"/>
                <w:sz w:val="18"/>
                <w:szCs w:val="18"/>
                <w:lang w:val="en-US" w:eastAsia="zh-CN"/>
              </w:rPr>
              <w:t>32</w:t>
            </w:r>
          </w:p>
        </w:tc>
        <w:tc>
          <w:tcPr>
            <w:tcW w:w="103" w:type="pct"/>
            <w:shd w:val="clear" w:color="auto" w:fill="auto"/>
            <w:vAlign w:val="center"/>
          </w:tcPr>
          <w:p w14:paraId="28BE4E48">
            <w:pPr>
              <w:pStyle w:val="24"/>
              <w:spacing w:line="240" w:lineRule="auto"/>
              <w:ind w:left="0"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103" w:type="pct"/>
            <w:shd w:val="clear" w:color="auto" w:fill="auto"/>
            <w:vAlign w:val="center"/>
          </w:tcPr>
          <w:p w14:paraId="27CDD668">
            <w:pPr>
              <w:pStyle w:val="24"/>
              <w:spacing w:line="240" w:lineRule="auto"/>
              <w:ind w:left="0" w:firstLine="0" w:firstLineChars="0"/>
              <w:jc w:val="center"/>
              <w:rPr>
                <w:rFonts w:hint="default" w:asciiTheme="minorEastAsia" w:hAnsiTheme="minorEastAsia" w:eastAsia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103" w:type="pct"/>
            <w:shd w:val="clear" w:color="auto" w:fill="auto"/>
            <w:vAlign w:val="center"/>
          </w:tcPr>
          <w:p w14:paraId="1EA7263E">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考查</w:t>
            </w:r>
          </w:p>
        </w:tc>
        <w:tc>
          <w:tcPr>
            <w:tcW w:w="103" w:type="pct"/>
            <w:shd w:val="clear" w:color="auto" w:fill="auto"/>
            <w:vAlign w:val="center"/>
          </w:tcPr>
          <w:p w14:paraId="0D72DB2D">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4</w:t>
            </w:r>
          </w:p>
        </w:tc>
        <w:tc>
          <w:tcPr>
            <w:tcW w:w="157" w:type="pct"/>
            <w:shd w:val="clear" w:color="auto" w:fill="auto"/>
            <w:vAlign w:val="center"/>
          </w:tcPr>
          <w:p w14:paraId="0A4F037D">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374" w:type="pct"/>
            <w:shd w:val="clear" w:color="auto" w:fill="auto"/>
            <w:vAlign w:val="center"/>
          </w:tcPr>
          <w:p w14:paraId="095B36EC">
            <w:pPr>
              <w:spacing w:line="240" w:lineRule="exact"/>
              <w:jc w:val="left"/>
              <w:rPr>
                <w:rFonts w:hint="eastAsia" w:ascii="宋体" w:hAnsi="宋体"/>
                <w:bCs/>
                <w:sz w:val="18"/>
                <w:szCs w:val="18"/>
              </w:rPr>
            </w:pPr>
            <w:r>
              <w:rPr>
                <w:rFonts w:hint="eastAsia" w:ascii="宋体" w:hAnsi="宋体"/>
                <w:b/>
                <w:bCs w:val="0"/>
                <w:sz w:val="18"/>
                <w:szCs w:val="18"/>
              </w:rPr>
              <w:t>1.知识目标:</w:t>
            </w:r>
            <w:r>
              <w:rPr>
                <w:rFonts w:hint="eastAsia" w:ascii="宋体" w:hAnsi="宋体"/>
                <w:bCs/>
                <w:sz w:val="18"/>
                <w:szCs w:val="18"/>
              </w:rPr>
              <w:t>掌握数据、数据资产、数据分类的概念；掌握数据分类的实施流程、方法、维度；了解业态融合数据点，确定销售环节的重要数据点，明确数据点的概念和意义，正确认识到数据点的价值；了解业态融合数据链，找到业务数据点横向和纵向的联系；了解业态融合数据集、业态融合数据链之间、业态融合数据集内外部数据的关系；掌握实务中业财融合、业税融合的具体数据点、数据链、数据集；理解业财税数据的重要性，掌握业财税数据的内容，了解业财税数据决策的分类，掌握提高决策准确性的方法；了解数据价值分析方法，掌握数据价值分析过程；了解业财税数据价值实现方法，熟悉业财税数据价值实现的阶段，掌握业财税数据价值实现应用领域；掌握数据资产的确认条件，掌握数据资产确认为无形资产、数据资产确认为存货资产的情形；了解需要对数据资产进行评估的经济行为，理解评估目的、价值类型对数据资产评估流程、方法和结果的影响，熟悉不同价值类型的含义和特征；掌握市场法、成本法、收益法等常用评估方法的基本原理和特点、具体操作步骤和流程；掌握不同获取方式下数据资产的初始计量方式，数据资产摊销方法和摊销年限，以及减值测试的条件、方法和会计处理，不同情况下数据资产的处置方式；了解数据资产披露的报表格式、披露内容及其与财务报表的关联，掌握数据资产在财务报表中的列报要求和计算方法；掌握业财税数据抓取、加工、存储、计量、可视化、确权、交易和核算的数据治理流程；掌握利用大数据完成业财税数据可溯源、可加工、可存储、可视、可计量、可洞察、版权化、可交易和可核算结果呈现。</w:t>
            </w:r>
            <w:r>
              <w:rPr>
                <w:rFonts w:hint="eastAsia" w:ascii="宋体" w:hAnsi="宋体"/>
                <w:b/>
                <w:bCs w:val="0"/>
                <w:sz w:val="18"/>
                <w:szCs w:val="18"/>
              </w:rPr>
              <w:t>2.能力目标:</w:t>
            </w:r>
            <w:r>
              <w:rPr>
                <w:rFonts w:hint="eastAsia" w:ascii="宋体" w:hAnsi="宋体"/>
                <w:bCs/>
                <w:sz w:val="18"/>
                <w:szCs w:val="18"/>
              </w:rPr>
              <w:t>能够应用数据分类方法从不同维度对数据进行分类；能够及时发现并应对潜在的数据安全风险，确保数据质量；能够从业态数据点、业财数据点、业税数据点中找到重要数据点（触发点）；能够熟练掌握业态、业财、业税融合数据点数据的流动关系；能够识别各个数据点中的风险并进行管控；能够对各个业态、业财、业税融合数据点进行分析研判，并给出判断依据；能够运用适当的分析方法对业财税数据进行深入分析，提取有价值的信息，根据分析结果制定有效的决策方案；能够基于业财税数据制定科学、合理的企业战略和规划，根据市场变化和企业发展需要调整决策方案；能够关注行业动态和税法变化，不断更新自己的知识和技能；能够积极学习新的数据分析方法和决策支持系统，提高决策效率和质量。能够运用各种分析方法和技术，深入挖掘数据背后的价值，发现潜在的问题和机遇；能够基于数据分析结果，为企业的决策和战略规划提供科学、合理的建议和支持；能够识别和分析数据中的异常值和趋势，及时制定风险应对措施，降低企业风险；能够定期对数据分析方法和流程进行审查和优化，不断提高数据分析的效率和准确性；能够运用大数据工具进行企业数据资产盘点，进行初步筛选，最终建立全面的数据资产清单；能够定制符合企业自身的数据标准，并且制定各类数据管理规范，落实各类数据对象的管理流程；能够运用业财税数据治理方法完成从人员组织、标准规范、管理流程、运维工具等多角度的综合治理，最终形成企业的数据资产。</w:t>
            </w:r>
            <w:r>
              <w:rPr>
                <w:rFonts w:hint="eastAsia" w:ascii="宋体" w:hAnsi="宋体"/>
                <w:b/>
                <w:bCs w:val="0"/>
                <w:sz w:val="18"/>
                <w:szCs w:val="18"/>
              </w:rPr>
              <w:t>3.素质目标:</w:t>
            </w:r>
            <w:r>
              <w:rPr>
                <w:rFonts w:hint="eastAsia" w:ascii="宋体" w:hAnsi="宋体"/>
                <w:bCs/>
                <w:sz w:val="18"/>
                <w:szCs w:val="18"/>
              </w:rPr>
              <w:t>具有大数据思维、系统性思维、创新思维，拥有较强的业务理解能力与良好的逻辑思维能力，具备较强的数据敏感度与数据分析能力；具有勇于承担责任、积极解决问题的责任心，能够与团队成员紧密合作，尊重他人意见，善于倾听和沟通的团队精神；具备遵守相关法律法规和行业标准、合规经营和风险管理意识，确保数据分析和应用的合法性和安全性；具备高质量发展理念、市场风险意识和成本效益意识；具有良好的职业道德，依法纳税，诚信经营。</w:t>
            </w:r>
          </w:p>
        </w:tc>
        <w:tc>
          <w:tcPr>
            <w:tcW w:w="1214" w:type="pct"/>
            <w:vAlign w:val="center"/>
          </w:tcPr>
          <w:p w14:paraId="5479F8C5">
            <w:pPr>
              <w:spacing w:line="240" w:lineRule="exact"/>
              <w:jc w:val="left"/>
              <w:rPr>
                <w:rFonts w:hint="eastAsia" w:ascii="宋体" w:hAnsi="宋体" w:eastAsia="宋体"/>
                <w:bCs/>
                <w:sz w:val="18"/>
                <w:szCs w:val="18"/>
                <w:lang w:eastAsia="zh-CN"/>
              </w:rPr>
            </w:pPr>
            <w:r>
              <w:rPr>
                <w:rFonts w:hint="eastAsia" w:ascii="宋体" w:hAnsi="宋体"/>
                <w:bCs/>
                <w:sz w:val="18"/>
                <w:szCs w:val="18"/>
              </w:rPr>
              <w:t>（1）数据逻辑及分类：数据逻辑认知、业财税数据分类、业态融合数据点</w:t>
            </w:r>
            <w:r>
              <w:rPr>
                <w:rFonts w:hint="eastAsia" w:ascii="宋体" w:hAnsi="宋体"/>
                <w:bCs/>
                <w:sz w:val="18"/>
                <w:szCs w:val="18"/>
                <w:lang w:eastAsia="zh-CN"/>
              </w:rPr>
              <w:t>。</w:t>
            </w:r>
            <w:r>
              <w:rPr>
                <w:rFonts w:hint="eastAsia" w:ascii="宋体" w:hAnsi="宋体"/>
                <w:bCs/>
                <w:sz w:val="18"/>
                <w:szCs w:val="18"/>
              </w:rPr>
              <w:t>（2）业态融合数据应用：业态融合数据链、业态融合数据集</w:t>
            </w:r>
            <w:r>
              <w:rPr>
                <w:rFonts w:hint="eastAsia" w:ascii="宋体" w:hAnsi="宋体"/>
                <w:bCs/>
                <w:sz w:val="18"/>
                <w:szCs w:val="18"/>
                <w:lang w:eastAsia="zh-CN"/>
              </w:rPr>
              <w:t>。</w:t>
            </w:r>
            <w:r>
              <w:rPr>
                <w:rFonts w:hint="eastAsia" w:ascii="宋体" w:hAnsi="宋体"/>
                <w:bCs/>
                <w:sz w:val="18"/>
                <w:szCs w:val="18"/>
              </w:rPr>
              <w:t>（3）业财融合数据应用：业财融合数据点、业财融合数据链、业财融合数据集</w:t>
            </w:r>
            <w:r>
              <w:rPr>
                <w:rFonts w:hint="eastAsia" w:ascii="宋体" w:hAnsi="宋体"/>
                <w:bCs/>
                <w:sz w:val="18"/>
                <w:szCs w:val="18"/>
                <w:lang w:eastAsia="zh-CN"/>
              </w:rPr>
              <w:t>。</w:t>
            </w:r>
            <w:r>
              <w:rPr>
                <w:rFonts w:hint="eastAsia" w:ascii="宋体" w:hAnsi="宋体"/>
                <w:bCs/>
                <w:sz w:val="18"/>
                <w:szCs w:val="18"/>
              </w:rPr>
              <w:t>（4）业税融合数据应用：业财融合数据点、业财融合数据链、业财融合数据集</w:t>
            </w:r>
            <w:r>
              <w:rPr>
                <w:rFonts w:hint="eastAsia" w:ascii="宋体" w:hAnsi="宋体"/>
                <w:bCs/>
                <w:sz w:val="18"/>
                <w:szCs w:val="18"/>
                <w:lang w:eastAsia="zh-CN"/>
              </w:rPr>
              <w:t>。</w:t>
            </w:r>
            <w:r>
              <w:rPr>
                <w:rFonts w:hint="eastAsia" w:ascii="宋体" w:hAnsi="宋体"/>
                <w:bCs/>
                <w:sz w:val="18"/>
                <w:szCs w:val="18"/>
              </w:rPr>
              <w:t>（5）业财税数据价值实现：业财税数据决策、业财税数据价值分析、业财税数据价值实现</w:t>
            </w:r>
            <w:r>
              <w:rPr>
                <w:rFonts w:hint="eastAsia" w:ascii="宋体" w:hAnsi="宋体"/>
                <w:bCs/>
                <w:sz w:val="18"/>
                <w:szCs w:val="18"/>
                <w:lang w:eastAsia="zh-CN"/>
              </w:rPr>
              <w:t>。</w:t>
            </w:r>
            <w:r>
              <w:rPr>
                <w:rFonts w:hint="eastAsia" w:ascii="宋体" w:hAnsi="宋体"/>
                <w:bCs/>
                <w:sz w:val="18"/>
                <w:szCs w:val="18"/>
              </w:rPr>
              <w:t>（6）数据资产评估与核算：数据资产确认、数据资产评估、数据资产计量、数据资产列报与披露</w:t>
            </w:r>
            <w:r>
              <w:rPr>
                <w:rFonts w:hint="eastAsia" w:ascii="宋体" w:hAnsi="宋体"/>
                <w:bCs/>
                <w:sz w:val="18"/>
                <w:szCs w:val="18"/>
                <w:lang w:eastAsia="zh-CN"/>
              </w:rPr>
              <w:t>。</w:t>
            </w:r>
            <w:r>
              <w:rPr>
                <w:rFonts w:hint="eastAsia" w:ascii="宋体" w:hAnsi="宋体"/>
                <w:bCs/>
                <w:sz w:val="18"/>
                <w:szCs w:val="18"/>
              </w:rPr>
              <w:t>（7）业财税数据治理：业财税数据治理流程梳理、业财税数据治理结果呈现</w:t>
            </w:r>
            <w:r>
              <w:rPr>
                <w:rFonts w:hint="eastAsia" w:ascii="宋体" w:hAnsi="宋体"/>
                <w:bCs/>
                <w:sz w:val="18"/>
                <w:szCs w:val="18"/>
                <w:lang w:eastAsia="zh-CN"/>
              </w:rPr>
              <w:t>。</w:t>
            </w:r>
            <w:r>
              <w:rPr>
                <w:rFonts w:hint="eastAsia" w:ascii="宋体" w:hAnsi="宋体"/>
                <w:bCs/>
                <w:sz w:val="18"/>
                <w:szCs w:val="18"/>
              </w:rPr>
              <w:t>（8）业财税数据治理案例分析</w:t>
            </w:r>
            <w:r>
              <w:rPr>
                <w:rFonts w:hint="eastAsia" w:ascii="宋体" w:hAnsi="宋体"/>
                <w:bCs/>
                <w:sz w:val="18"/>
                <w:szCs w:val="18"/>
                <w:lang w:eastAsia="zh-CN"/>
              </w:rPr>
              <w:t>。</w:t>
            </w:r>
          </w:p>
        </w:tc>
      </w:tr>
    </w:tbl>
    <w:p w14:paraId="362F59C5">
      <w:pPr>
        <w:sectPr>
          <w:pgSz w:w="23811" w:h="16838" w:orient="landscape"/>
          <w:pgMar w:top="1701" w:right="1417" w:bottom="1701" w:left="1417" w:header="851" w:footer="992" w:gutter="0"/>
          <w:cols w:space="0" w:num="1"/>
          <w:docGrid w:type="lines" w:linePitch="312" w:charSpace="0"/>
        </w:sectPr>
      </w:pPr>
    </w:p>
    <w:tbl>
      <w:tblPr>
        <w:tblStyle w:val="14"/>
        <w:tblW w:w="500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5"/>
        <w:gridCol w:w="1106"/>
        <w:gridCol w:w="450"/>
        <w:gridCol w:w="450"/>
        <w:gridCol w:w="450"/>
        <w:gridCol w:w="450"/>
        <w:gridCol w:w="450"/>
        <w:gridCol w:w="450"/>
        <w:gridCol w:w="450"/>
        <w:gridCol w:w="454"/>
        <w:gridCol w:w="681"/>
        <w:gridCol w:w="9537"/>
        <w:gridCol w:w="5562"/>
      </w:tblGrid>
      <w:tr w14:paraId="5ACF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jc w:val="center"/>
        </w:trPr>
        <w:tc>
          <w:tcPr>
            <w:tcW w:w="120" w:type="pct"/>
            <w:tcBorders>
              <w:top w:val="single" w:color="auto" w:sz="4" w:space="0"/>
              <w:left w:val="single" w:color="auto" w:sz="4" w:space="0"/>
              <w:bottom w:val="single" w:color="auto" w:sz="4" w:space="0"/>
              <w:right w:val="single" w:color="auto" w:sz="4" w:space="0"/>
            </w:tcBorders>
            <w:vAlign w:val="center"/>
          </w:tcPr>
          <w:p w14:paraId="6FE33667">
            <w:pPr>
              <w:widowControl/>
              <w:spacing w:line="240" w:lineRule="exact"/>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类别</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7AAB11BD">
            <w:pPr>
              <w:jc w:val="center"/>
              <w:rPr>
                <w:rFonts w:hint="eastAsia" w:asciiTheme="minorEastAsia" w:hAnsiTheme="minorEastAsia" w:eastAsiaTheme="minorEastAsia"/>
                <w:b/>
                <w:bCs/>
                <w:sz w:val="18"/>
                <w:szCs w:val="18"/>
              </w:rPr>
            </w:pPr>
            <w:r>
              <w:rPr>
                <w:rFonts w:hint="eastAsia" w:asciiTheme="minorEastAsia" w:hAnsiTheme="minorEastAsia" w:eastAsiaTheme="minorEastAsia"/>
                <w:b/>
                <w:bCs/>
                <w:sz w:val="18"/>
                <w:szCs w:val="18"/>
              </w:rPr>
              <w:t>课程名称</w:t>
            </w:r>
          </w:p>
        </w:tc>
        <w:tc>
          <w:tcPr>
            <w:tcW w:w="107" w:type="pct"/>
            <w:tcBorders>
              <w:top w:val="single" w:color="auto" w:sz="4" w:space="0"/>
              <w:left w:val="single" w:color="auto" w:sz="4" w:space="0"/>
              <w:bottom w:val="single" w:color="auto" w:sz="4" w:space="0"/>
              <w:right w:val="single" w:color="auto" w:sz="4" w:space="0"/>
            </w:tcBorders>
            <w:vAlign w:val="center"/>
          </w:tcPr>
          <w:p w14:paraId="0FD4777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w:t>
            </w:r>
          </w:p>
          <w:p w14:paraId="64F82184">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类型</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1E2AA683">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 类别</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6542B618">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学分</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4B50B400">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总学时</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72163272">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理论</w:t>
            </w:r>
          </w:p>
          <w:p w14:paraId="589A466F">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318CF674">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实践</w:t>
            </w:r>
          </w:p>
          <w:p w14:paraId="07D789B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学时</w:t>
            </w:r>
          </w:p>
        </w:tc>
        <w:tc>
          <w:tcPr>
            <w:tcW w:w="107" w:type="pct"/>
            <w:tcBorders>
              <w:top w:val="single" w:color="auto" w:sz="4" w:space="0"/>
              <w:left w:val="single" w:color="auto" w:sz="4" w:space="0"/>
              <w:bottom w:val="single" w:color="auto" w:sz="4" w:space="0"/>
              <w:right w:val="single" w:color="auto" w:sz="4" w:space="0"/>
            </w:tcBorders>
            <w:shd w:val="clear" w:color="auto" w:fill="auto"/>
            <w:vAlign w:val="center"/>
          </w:tcPr>
          <w:p w14:paraId="72CB3FEB">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考核</w:t>
            </w:r>
          </w:p>
          <w:p w14:paraId="7A5FFFAC">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方式</w:t>
            </w:r>
          </w:p>
        </w:tc>
        <w:tc>
          <w:tcPr>
            <w:tcW w:w="108" w:type="pct"/>
            <w:tcBorders>
              <w:top w:val="single" w:color="auto" w:sz="4" w:space="0"/>
              <w:left w:val="single" w:color="auto" w:sz="4" w:space="0"/>
              <w:bottom w:val="single" w:color="auto" w:sz="4" w:space="0"/>
              <w:right w:val="single" w:color="auto" w:sz="4" w:space="0"/>
            </w:tcBorders>
            <w:shd w:val="clear" w:color="auto" w:fill="auto"/>
            <w:vAlign w:val="center"/>
          </w:tcPr>
          <w:p w14:paraId="4FE05980">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开设</w:t>
            </w:r>
          </w:p>
          <w:p w14:paraId="6CD6729E">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学期</w:t>
            </w:r>
          </w:p>
        </w:tc>
        <w:tc>
          <w:tcPr>
            <w:tcW w:w="162" w:type="pct"/>
            <w:tcBorders>
              <w:top w:val="single" w:color="auto" w:sz="4" w:space="0"/>
              <w:left w:val="single" w:color="auto" w:sz="4" w:space="0"/>
              <w:bottom w:val="single" w:color="auto" w:sz="4" w:space="0"/>
              <w:right w:val="single" w:color="auto" w:sz="4" w:space="0"/>
            </w:tcBorders>
            <w:shd w:val="clear" w:color="auto" w:fill="auto"/>
            <w:vAlign w:val="center"/>
          </w:tcPr>
          <w:p w14:paraId="79F7FF8C">
            <w:pPr>
              <w:pStyle w:val="24"/>
              <w:spacing w:line="240" w:lineRule="auto"/>
              <w:ind w:left="0" w:firstLine="0" w:firstLineChars="0"/>
              <w:jc w:val="center"/>
              <w:rPr>
                <w:rFonts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授课</w:t>
            </w:r>
          </w:p>
          <w:p w14:paraId="3A138A48">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主体</w:t>
            </w:r>
          </w:p>
        </w:tc>
        <w:tc>
          <w:tcPr>
            <w:tcW w:w="2267" w:type="pct"/>
            <w:tcBorders>
              <w:top w:val="single" w:color="auto" w:sz="4" w:space="0"/>
              <w:left w:val="single" w:color="auto" w:sz="4" w:space="0"/>
              <w:bottom w:val="single" w:color="auto" w:sz="4" w:space="0"/>
              <w:right w:val="single" w:color="auto" w:sz="4" w:space="0"/>
            </w:tcBorders>
            <w:shd w:val="clear" w:color="auto" w:fill="auto"/>
            <w:vAlign w:val="center"/>
          </w:tcPr>
          <w:p w14:paraId="1AACBFB4">
            <w:pPr>
              <w:spacing w:line="200" w:lineRule="exact"/>
              <w:jc w:val="center"/>
              <w:rPr>
                <w:rFonts w:hint="eastAsia" w:ascii="宋体" w:hAnsi="宋体"/>
                <w:b/>
                <w:bCs/>
                <w:sz w:val="18"/>
                <w:szCs w:val="18"/>
              </w:rPr>
            </w:pPr>
            <w:r>
              <w:rPr>
                <w:rFonts w:hint="eastAsia" w:ascii="宋体" w:hAnsi="宋体"/>
                <w:b/>
                <w:bCs/>
                <w:sz w:val="18"/>
                <w:szCs w:val="18"/>
              </w:rPr>
              <w:t>课程目标</w:t>
            </w:r>
          </w:p>
        </w:tc>
        <w:tc>
          <w:tcPr>
            <w:tcW w:w="1322" w:type="pct"/>
            <w:tcBorders>
              <w:top w:val="single" w:color="auto" w:sz="4" w:space="0"/>
              <w:left w:val="single" w:color="auto" w:sz="4" w:space="0"/>
              <w:bottom w:val="single" w:color="auto" w:sz="4" w:space="0"/>
              <w:right w:val="single" w:color="auto" w:sz="4" w:space="0"/>
            </w:tcBorders>
            <w:vAlign w:val="center"/>
          </w:tcPr>
          <w:p w14:paraId="7043242B">
            <w:pPr>
              <w:spacing w:line="200" w:lineRule="exact"/>
              <w:jc w:val="center"/>
              <w:rPr>
                <w:rFonts w:hint="eastAsia" w:ascii="宋体" w:hAnsi="宋体"/>
                <w:b/>
                <w:bCs/>
                <w:sz w:val="18"/>
                <w:szCs w:val="18"/>
              </w:rPr>
            </w:pPr>
            <w:r>
              <w:rPr>
                <w:rFonts w:hint="eastAsia" w:ascii="宋体" w:hAnsi="宋体"/>
                <w:b/>
                <w:bCs/>
                <w:sz w:val="18"/>
                <w:szCs w:val="18"/>
              </w:rPr>
              <w:t>主要教学内容</w:t>
            </w:r>
          </w:p>
        </w:tc>
      </w:tr>
      <w:tr w14:paraId="348FC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restart"/>
            <w:vAlign w:val="center"/>
          </w:tcPr>
          <w:p w14:paraId="2CE0D229">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263" w:type="pct"/>
            <w:shd w:val="clear" w:color="auto" w:fill="auto"/>
            <w:vAlign w:val="center"/>
          </w:tcPr>
          <w:p w14:paraId="47EB33C1">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会计基础实训</w:t>
            </w:r>
          </w:p>
        </w:tc>
        <w:tc>
          <w:tcPr>
            <w:tcW w:w="107" w:type="pct"/>
            <w:vAlign w:val="center"/>
          </w:tcPr>
          <w:p w14:paraId="252D4A2F">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必修</w:t>
            </w:r>
          </w:p>
        </w:tc>
        <w:tc>
          <w:tcPr>
            <w:tcW w:w="107" w:type="pct"/>
            <w:shd w:val="clear" w:color="auto" w:fill="auto"/>
            <w:vAlign w:val="center"/>
          </w:tcPr>
          <w:p w14:paraId="5583A319">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rPr>
            </w:pPr>
            <w:r>
              <w:rPr>
                <w:rFonts w:hint="eastAsia" w:asciiTheme="minorEastAsia" w:hAnsiTheme="minorEastAsia" w:eastAsiaTheme="minorEastAsia" w:cstheme="minorEastAsia"/>
                <w:w w:val="99"/>
                <w:sz w:val="18"/>
                <w:szCs w:val="18"/>
                <w:lang w:val="en-US"/>
              </w:rPr>
              <w:t>C</w:t>
            </w:r>
          </w:p>
        </w:tc>
        <w:tc>
          <w:tcPr>
            <w:tcW w:w="107" w:type="pct"/>
            <w:shd w:val="clear" w:color="auto" w:fill="auto"/>
            <w:vAlign w:val="center"/>
          </w:tcPr>
          <w:p w14:paraId="3614CE80">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5742C4DD">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37872D40">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57DFB75B">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3C8A065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1622CB45">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w w:val="99"/>
                <w:sz w:val="18"/>
                <w:szCs w:val="18"/>
                <w:lang w:val="en-US"/>
              </w:rPr>
              <w:t>2</w:t>
            </w:r>
          </w:p>
        </w:tc>
        <w:tc>
          <w:tcPr>
            <w:tcW w:w="162" w:type="pct"/>
            <w:shd w:val="clear" w:color="auto" w:fill="auto"/>
            <w:vAlign w:val="center"/>
          </w:tcPr>
          <w:p w14:paraId="4FDCD35B">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学校</w:t>
            </w:r>
          </w:p>
        </w:tc>
        <w:tc>
          <w:tcPr>
            <w:tcW w:w="2267" w:type="pct"/>
            <w:shd w:val="clear" w:color="auto" w:fill="auto"/>
            <w:vAlign w:val="center"/>
          </w:tcPr>
          <w:p w14:paraId="65A53A39">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r>
              <w:rPr>
                <w:rFonts w:hint="eastAsia"/>
                <w:color w:val="000000"/>
                <w:kern w:val="0"/>
                <w:sz w:val="18"/>
                <w:szCs w:val="18"/>
              </w:rPr>
              <w:t>能够进行会计手工账务处理。</w:t>
            </w:r>
          </w:p>
        </w:tc>
        <w:tc>
          <w:tcPr>
            <w:tcW w:w="1322" w:type="pct"/>
            <w:vAlign w:val="center"/>
          </w:tcPr>
          <w:p w14:paraId="0EB799B1">
            <w:pPr>
              <w:pStyle w:val="24"/>
              <w:spacing w:line="240" w:lineRule="auto"/>
              <w:ind w:left="0" w:right="105" w:rightChars="50" w:firstLine="0" w:firstLineChars="0"/>
              <w:rPr>
                <w:rFonts w:hint="eastAsia" w:asciiTheme="minorEastAsia" w:hAnsiTheme="minorEastAsia" w:eastAsiaTheme="minorEastAsia" w:cstheme="minorEastAsia"/>
                <w:sz w:val="18"/>
                <w:szCs w:val="18"/>
              </w:rPr>
            </w:pPr>
            <w:r>
              <w:rPr>
                <w:rFonts w:hint="eastAsia"/>
                <w:color w:val="000000"/>
                <w:kern w:val="0"/>
                <w:sz w:val="18"/>
                <w:szCs w:val="18"/>
              </w:rPr>
              <w:t>手工方式进行原始凭证、记账凭证的审核、填制，账簿的登记，财务报表的填制。</w:t>
            </w:r>
          </w:p>
        </w:tc>
      </w:tr>
      <w:tr w14:paraId="0105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0BD9FB85">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4492DB6F">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大数据技术在业财融合中的应用</w:t>
            </w:r>
          </w:p>
        </w:tc>
        <w:tc>
          <w:tcPr>
            <w:tcW w:w="107" w:type="pct"/>
            <w:vAlign w:val="center"/>
          </w:tcPr>
          <w:p w14:paraId="50F8FB0E">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cstheme="minorEastAsia"/>
                <w:sz w:val="18"/>
                <w:szCs w:val="18"/>
                <w:lang w:val="en-US"/>
              </w:rPr>
              <w:t>必修</w:t>
            </w:r>
          </w:p>
        </w:tc>
        <w:tc>
          <w:tcPr>
            <w:tcW w:w="107" w:type="pct"/>
            <w:shd w:val="clear" w:color="auto" w:fill="auto"/>
            <w:vAlign w:val="center"/>
          </w:tcPr>
          <w:p w14:paraId="7AC417BB">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w w:val="99"/>
                <w:sz w:val="18"/>
                <w:szCs w:val="18"/>
                <w:lang w:val="en-US"/>
              </w:rPr>
              <w:t>C</w:t>
            </w:r>
          </w:p>
        </w:tc>
        <w:tc>
          <w:tcPr>
            <w:tcW w:w="107" w:type="pct"/>
            <w:shd w:val="clear" w:color="auto" w:fill="auto"/>
            <w:vAlign w:val="center"/>
          </w:tcPr>
          <w:p w14:paraId="4FCF645B">
            <w:pPr>
              <w:pStyle w:val="24"/>
              <w:spacing w:line="240" w:lineRule="auto"/>
              <w:ind w:left="0" w:firstLine="0" w:firstLineChars="0"/>
              <w:jc w:val="center"/>
              <w:rPr>
                <w:rFonts w:hint="eastAsia" w:asciiTheme="minorEastAsia" w:hAnsiTheme="minorEastAsia" w:eastAsiaTheme="minorEastAsia"/>
                <w:w w:val="99"/>
                <w:sz w:val="18"/>
                <w:szCs w:val="18"/>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6249E7F9">
            <w:pPr>
              <w:pStyle w:val="24"/>
              <w:spacing w:line="240" w:lineRule="auto"/>
              <w:ind w:left="0" w:firstLine="0" w:firstLineChars="0"/>
              <w:jc w:val="center"/>
              <w:rPr>
                <w:rFonts w:hint="eastAsia" w:asciiTheme="minorEastAsia" w:hAnsiTheme="minorEastAsia" w:eastAsiaTheme="minorEastAsia"/>
                <w:w w:val="99"/>
                <w:sz w:val="18"/>
                <w:szCs w:val="18"/>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48553165">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0754C5CA">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5A347E8B">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2AE78220">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w w:val="99"/>
                <w:sz w:val="18"/>
                <w:szCs w:val="18"/>
                <w:lang w:val="en-US"/>
              </w:rPr>
              <w:t>2</w:t>
            </w:r>
          </w:p>
        </w:tc>
        <w:tc>
          <w:tcPr>
            <w:tcW w:w="162" w:type="pct"/>
            <w:shd w:val="clear" w:color="auto" w:fill="auto"/>
            <w:vAlign w:val="center"/>
          </w:tcPr>
          <w:p w14:paraId="0E77C11F">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49515697">
            <w:pPr>
              <w:spacing w:line="240" w:lineRule="exact"/>
              <w:jc w:val="left"/>
              <w:rPr>
                <w:rFonts w:hint="eastAsia" w:asciiTheme="minorEastAsia" w:hAnsiTheme="minorEastAsia" w:eastAsiaTheme="minorEastAsia" w:cstheme="minorEastAsia"/>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1</w:t>
            </w:r>
            <w:r>
              <w:rPr>
                <w:rFonts w:hint="eastAsia" w:ascii="宋体" w:hAnsi="宋体" w:cs="宋体"/>
                <w:b/>
                <w:bCs/>
                <w:sz w:val="18"/>
                <w:szCs w:val="18"/>
              </w:rPr>
              <w:t>）知识</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掌握Python程序语言基础知识；掌握数据获取(爬虫)基础知识；掌握数据处理(Pandas)基础知识；掌握数据可视化(Matplotlib)基础知识；掌握Seaborn数据可视化高级技巧。</w:t>
            </w:r>
            <w:r>
              <w:rPr>
                <w:rFonts w:hint="eastAsia"/>
                <w:b/>
                <w:bCs/>
                <w:sz w:val="18"/>
                <w:szCs w:val="18"/>
              </w:rPr>
              <w:t>（</w:t>
            </w:r>
            <w:r>
              <w:rPr>
                <w:rFonts w:hint="eastAsia"/>
                <w:b/>
                <w:bCs/>
                <w:sz w:val="18"/>
                <w:szCs w:val="18"/>
                <w:lang w:val="en-US" w:eastAsia="zh-CN"/>
              </w:rPr>
              <w:t>2</w:t>
            </w:r>
            <w:r>
              <w:rPr>
                <w:rFonts w:hint="eastAsia"/>
                <w:b/>
                <w:bCs/>
                <w:sz w:val="18"/>
                <w:szCs w:val="18"/>
              </w:rPr>
              <w:t>）能力</w:t>
            </w:r>
            <w:r>
              <w:rPr>
                <w:rFonts w:hint="eastAsia"/>
                <w:b/>
                <w:bCs/>
                <w:sz w:val="18"/>
                <w:szCs w:val="18"/>
                <w:lang w:val="en-US" w:eastAsia="zh-CN"/>
              </w:rPr>
              <w:t>目标</w:t>
            </w:r>
            <w:r>
              <w:rPr>
                <w:rFonts w:hint="eastAsia"/>
                <w:b/>
                <w:bCs/>
                <w:sz w:val="18"/>
                <w:szCs w:val="18"/>
              </w:rPr>
              <w:t>：</w:t>
            </w:r>
            <w:r>
              <w:rPr>
                <w:rFonts w:hint="eastAsia"/>
                <w:sz w:val="18"/>
                <w:szCs w:val="18"/>
              </w:rPr>
              <w:t xml:space="preserve">在企业的采购、生产、销售、筹资、投资和分配领域中，运用Python及爬虫工具收集数据，运用数据处理(Pandas)工具进行数据的整理，运用数据可视化(Matplotlib）工具进行图表的绘制。 </w:t>
            </w:r>
            <w:r>
              <w:rPr>
                <w:rFonts w:hint="eastAsia" w:ascii="宋体" w:hAnsi="宋体" w:cs="宋体"/>
                <w:b/>
                <w:bCs/>
                <w:sz w:val="18"/>
                <w:szCs w:val="18"/>
              </w:rPr>
              <w:t>（</w:t>
            </w:r>
            <w:r>
              <w:rPr>
                <w:rFonts w:hint="eastAsia" w:ascii="宋体" w:hAnsi="宋体" w:cs="宋体"/>
                <w:b/>
                <w:bCs/>
                <w:sz w:val="18"/>
                <w:szCs w:val="18"/>
                <w:lang w:val="en-US" w:eastAsia="zh-CN"/>
              </w:rPr>
              <w:t>3</w:t>
            </w:r>
            <w:r>
              <w:rPr>
                <w:rFonts w:hint="eastAsia" w:ascii="宋体" w:hAnsi="宋体" w:cs="宋体"/>
                <w:b/>
                <w:bCs/>
                <w:sz w:val="18"/>
                <w:szCs w:val="18"/>
              </w:rPr>
              <w:t>）素质</w:t>
            </w:r>
            <w:r>
              <w:rPr>
                <w:rFonts w:hint="eastAsia" w:ascii="宋体" w:hAnsi="宋体" w:cs="宋体"/>
                <w:b/>
                <w:bCs/>
                <w:sz w:val="18"/>
                <w:szCs w:val="18"/>
                <w:lang w:val="en-US" w:eastAsia="zh-CN"/>
              </w:rPr>
              <w:t>目标</w:t>
            </w:r>
            <w:r>
              <w:rPr>
                <w:rFonts w:hint="eastAsia" w:ascii="宋体" w:hAnsi="宋体" w:cs="宋体"/>
                <w:b/>
                <w:bCs/>
                <w:sz w:val="18"/>
                <w:szCs w:val="18"/>
              </w:rPr>
              <w:t>：</w:t>
            </w:r>
            <w:r>
              <w:rPr>
                <w:rFonts w:hint="eastAsia" w:ascii="宋体" w:hAnsi="宋体" w:cs="宋体"/>
                <w:sz w:val="18"/>
                <w:szCs w:val="18"/>
              </w:rPr>
              <w:t xml:space="preserve">培养团队协作精神及相互交流沟通能力；培养发现问题、分析问题、解决问题的能力；具备运用Python程序语言进行企业采购、生产、销售、筹资、投资和分配领域的数据收集、处理和分析。  </w:t>
            </w:r>
          </w:p>
        </w:tc>
        <w:tc>
          <w:tcPr>
            <w:tcW w:w="1322" w:type="pct"/>
            <w:vAlign w:val="center"/>
          </w:tcPr>
          <w:p w14:paraId="5073AECE">
            <w:pPr>
              <w:pStyle w:val="24"/>
              <w:spacing w:line="240" w:lineRule="auto"/>
              <w:ind w:left="105" w:leftChars="50" w:right="105" w:rightChars="50" w:firstLine="0" w:firstLineChars="0"/>
              <w:rPr>
                <w:rFonts w:hint="eastAsia" w:eastAsia="宋体" w:asciiTheme="minorEastAsia" w:hAnsiTheme="minorEastAsia" w:cstheme="minorEastAsia"/>
                <w:sz w:val="18"/>
                <w:szCs w:val="18"/>
                <w:lang w:eastAsia="zh-CN"/>
              </w:rPr>
            </w:pPr>
            <w:bookmarkStart w:id="4" w:name="_Toc173233465"/>
            <w:r>
              <w:rPr>
                <w:rFonts w:hint="eastAsia"/>
                <w:sz w:val="18"/>
                <w:szCs w:val="18"/>
              </w:rPr>
              <w:t>（</w:t>
            </w:r>
            <w:r>
              <w:rPr>
                <w:rFonts w:hint="eastAsia"/>
                <w:sz w:val="18"/>
                <w:szCs w:val="18"/>
                <w:lang w:val="en-US"/>
              </w:rPr>
              <w:t>1</w:t>
            </w:r>
            <w:r>
              <w:rPr>
                <w:rFonts w:hint="eastAsia"/>
                <w:sz w:val="18"/>
                <w:szCs w:val="18"/>
              </w:rPr>
              <w:t>）Python在采购领域的应用：原材料相关政策分析、采购需求分析、采购市场分析、供应商信息分析</w:t>
            </w:r>
            <w:bookmarkEnd w:id="4"/>
            <w:r>
              <w:rPr>
                <w:rFonts w:hint="eastAsia"/>
                <w:sz w:val="18"/>
                <w:szCs w:val="18"/>
              </w:rPr>
              <w:t>、案例分析</w:t>
            </w:r>
            <w:bookmarkStart w:id="5" w:name="_Toc173233466"/>
            <w:r>
              <w:rPr>
                <w:rFonts w:hint="eastAsia"/>
                <w:sz w:val="18"/>
                <w:szCs w:val="18"/>
                <w:lang w:eastAsia="zh-CN"/>
              </w:rPr>
              <w:t>。</w:t>
            </w:r>
            <w:r>
              <w:rPr>
                <w:rFonts w:hint="eastAsia"/>
                <w:sz w:val="18"/>
                <w:szCs w:val="18"/>
              </w:rPr>
              <w:t>（</w:t>
            </w:r>
            <w:r>
              <w:rPr>
                <w:rFonts w:hint="eastAsia"/>
                <w:sz w:val="18"/>
                <w:szCs w:val="18"/>
                <w:lang w:val="en-US"/>
              </w:rPr>
              <w:t>2</w:t>
            </w:r>
            <w:r>
              <w:rPr>
                <w:rFonts w:hint="eastAsia"/>
                <w:sz w:val="18"/>
                <w:szCs w:val="18"/>
              </w:rPr>
              <w:t>）Python在生产领域的应用：Python在生产决策分析、生产核算、成本管控中的应用</w:t>
            </w:r>
            <w:bookmarkEnd w:id="5"/>
            <w:r>
              <w:rPr>
                <w:rFonts w:hint="eastAsia"/>
                <w:sz w:val="18"/>
                <w:szCs w:val="18"/>
              </w:rPr>
              <w:t>、案例分析</w:t>
            </w:r>
            <w:r>
              <w:rPr>
                <w:rFonts w:hint="eastAsia"/>
                <w:sz w:val="18"/>
                <w:szCs w:val="18"/>
                <w:lang w:eastAsia="zh-CN"/>
              </w:rPr>
              <w:t>。</w:t>
            </w:r>
            <w:r>
              <w:rPr>
                <w:rFonts w:hint="eastAsia"/>
                <w:sz w:val="18"/>
                <w:szCs w:val="18"/>
                <w:lang w:val="en-US"/>
              </w:rPr>
              <w:t>(3</w:t>
            </w:r>
            <w:r>
              <w:rPr>
                <w:rFonts w:hint="eastAsia"/>
                <w:sz w:val="18"/>
                <w:szCs w:val="18"/>
                <w:lang w:val="en-US" w:eastAsia="zh-CN"/>
              </w:rPr>
              <w:t>）</w:t>
            </w:r>
            <w:r>
              <w:rPr>
                <w:rFonts w:hint="eastAsia"/>
                <w:sz w:val="18"/>
                <w:szCs w:val="18"/>
              </w:rPr>
              <w:t>Python在销售领域的应用：产品价格、客户评价、竞争对手分析、销售分析与考核、案例分析</w:t>
            </w:r>
            <w:r>
              <w:rPr>
                <w:rFonts w:hint="eastAsia"/>
                <w:sz w:val="18"/>
                <w:szCs w:val="18"/>
                <w:lang w:eastAsia="zh-CN"/>
              </w:rPr>
              <w:t>。</w:t>
            </w:r>
            <w:r>
              <w:rPr>
                <w:rFonts w:hint="eastAsia"/>
                <w:sz w:val="18"/>
                <w:szCs w:val="18"/>
                <w:lang w:val="en-US"/>
              </w:rPr>
              <w:t>(4</w:t>
            </w:r>
            <w:r>
              <w:rPr>
                <w:rFonts w:hint="eastAsia"/>
                <w:sz w:val="18"/>
                <w:szCs w:val="18"/>
                <w:lang w:val="en-US" w:eastAsia="zh-CN"/>
              </w:rPr>
              <w:t>）</w:t>
            </w:r>
            <w:r>
              <w:rPr>
                <w:rFonts w:hint="eastAsia"/>
                <w:sz w:val="18"/>
                <w:szCs w:val="18"/>
              </w:rPr>
              <w:t>Python在筹资领域的应用：资金需求量预测、筹资方案选择决策、债务筹资决策、权益筹资决策、混合筹资决策、案例分析</w:t>
            </w:r>
            <w:r>
              <w:rPr>
                <w:rFonts w:hint="eastAsia"/>
                <w:sz w:val="18"/>
                <w:szCs w:val="18"/>
                <w:lang w:eastAsia="zh-CN"/>
              </w:rPr>
              <w:t>。</w:t>
            </w:r>
            <w:r>
              <w:rPr>
                <w:rFonts w:hint="eastAsia"/>
                <w:sz w:val="18"/>
                <w:szCs w:val="18"/>
                <w:lang w:val="en-US"/>
              </w:rPr>
              <w:t>(5</w:t>
            </w:r>
            <w:r>
              <w:rPr>
                <w:rFonts w:hint="eastAsia"/>
                <w:sz w:val="18"/>
                <w:szCs w:val="18"/>
              </w:rPr>
              <w:t>P</w:t>
            </w:r>
            <w:r>
              <w:rPr>
                <w:rFonts w:hint="eastAsia"/>
                <w:sz w:val="18"/>
                <w:szCs w:val="18"/>
                <w:lang w:eastAsia="zh-CN"/>
              </w:rPr>
              <w:t>）</w:t>
            </w:r>
            <w:r>
              <w:rPr>
                <w:rFonts w:hint="eastAsia"/>
                <w:sz w:val="18"/>
                <w:szCs w:val="18"/>
              </w:rPr>
              <w:t>ython在投资领域的应用：证券投资分析、生产性投资分析、计算投资组合的风险价值、案例分析</w:t>
            </w:r>
            <w:r>
              <w:rPr>
                <w:rFonts w:hint="eastAsia"/>
                <w:sz w:val="18"/>
                <w:szCs w:val="18"/>
                <w:lang w:eastAsia="zh-CN"/>
              </w:rPr>
              <w:t>。</w:t>
            </w:r>
            <w:r>
              <w:rPr>
                <w:rFonts w:hint="eastAsia"/>
                <w:sz w:val="18"/>
                <w:szCs w:val="18"/>
                <w:lang w:val="en-US"/>
              </w:rPr>
              <w:t>(6)</w:t>
            </w:r>
            <w:r>
              <w:rPr>
                <w:rFonts w:hint="eastAsia"/>
                <w:sz w:val="18"/>
                <w:szCs w:val="18"/>
              </w:rPr>
              <w:t>Python在分配领域的应用：股利分配需求分析、税务风险预警分析、案例分析</w:t>
            </w:r>
            <w:r>
              <w:rPr>
                <w:rFonts w:hint="eastAsia"/>
                <w:sz w:val="18"/>
                <w:szCs w:val="18"/>
                <w:lang w:val="en-US" w:eastAsia="zh-CN"/>
              </w:rPr>
              <w:t>py</w:t>
            </w:r>
            <w:r>
              <w:rPr>
                <w:rFonts w:hint="eastAsia"/>
                <w:sz w:val="18"/>
                <w:szCs w:val="18"/>
              </w:rPr>
              <w:t>thon在业财税融合中的应用综合案例分析</w:t>
            </w:r>
            <w:r>
              <w:rPr>
                <w:rFonts w:hint="eastAsia"/>
                <w:sz w:val="18"/>
                <w:szCs w:val="18"/>
                <w:lang w:eastAsia="zh-CN"/>
              </w:rPr>
              <w:t>。</w:t>
            </w:r>
          </w:p>
        </w:tc>
      </w:tr>
      <w:tr w14:paraId="0C0F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53" w:hRule="atLeast"/>
          <w:jc w:val="center"/>
        </w:trPr>
        <w:tc>
          <w:tcPr>
            <w:tcW w:w="120" w:type="pct"/>
            <w:vMerge w:val="continue"/>
            <w:vAlign w:val="center"/>
          </w:tcPr>
          <w:p w14:paraId="5A8B6110">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30178C50">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税费申报与管理实训</w:t>
            </w:r>
          </w:p>
        </w:tc>
        <w:tc>
          <w:tcPr>
            <w:tcW w:w="107" w:type="pct"/>
            <w:vAlign w:val="center"/>
          </w:tcPr>
          <w:p w14:paraId="126EB4C7">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必修</w:t>
            </w:r>
          </w:p>
        </w:tc>
        <w:tc>
          <w:tcPr>
            <w:tcW w:w="107" w:type="pct"/>
            <w:shd w:val="clear" w:color="auto" w:fill="auto"/>
            <w:vAlign w:val="center"/>
          </w:tcPr>
          <w:p w14:paraId="3C19F65B">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eastAsia="en-US"/>
              </w:rPr>
            </w:pPr>
            <w:r>
              <w:rPr>
                <w:rFonts w:hint="eastAsia" w:asciiTheme="minorEastAsia" w:hAnsiTheme="minorEastAsia" w:eastAsiaTheme="minorEastAsia" w:cstheme="minorEastAsia"/>
                <w:w w:val="99"/>
                <w:sz w:val="18"/>
                <w:szCs w:val="18"/>
                <w:lang w:val="en-US"/>
              </w:rPr>
              <w:t>C</w:t>
            </w:r>
          </w:p>
        </w:tc>
        <w:tc>
          <w:tcPr>
            <w:tcW w:w="107" w:type="pct"/>
            <w:shd w:val="clear" w:color="auto" w:fill="auto"/>
            <w:vAlign w:val="center"/>
          </w:tcPr>
          <w:p w14:paraId="4B0CE683">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48F4072E">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54C45683">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0B37C186">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7507F4AA">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4D42066F">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w w:val="99"/>
                <w:sz w:val="18"/>
                <w:szCs w:val="18"/>
                <w:lang w:val="en-US"/>
              </w:rPr>
              <w:t>3</w:t>
            </w:r>
          </w:p>
        </w:tc>
        <w:tc>
          <w:tcPr>
            <w:tcW w:w="162" w:type="pct"/>
            <w:shd w:val="clear" w:color="auto" w:fill="auto"/>
            <w:vAlign w:val="center"/>
          </w:tcPr>
          <w:p w14:paraId="78FDA0B8">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7DF9207D">
            <w:pPr>
              <w:spacing w:line="240" w:lineRule="exact"/>
              <w:rPr>
                <w:rFonts w:hint="eastAsia" w:asciiTheme="minorEastAsia" w:hAnsiTheme="minorEastAsia" w:eastAsiaTheme="minorEastAsia" w:cstheme="minorEastAsia"/>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）知识</w:t>
            </w:r>
            <w:r>
              <w:rPr>
                <w:rFonts w:hint="eastAsia" w:ascii="宋体" w:hAnsi="宋体" w:cs="宋体"/>
                <w:b/>
                <w:sz w:val="18"/>
                <w:szCs w:val="18"/>
                <w:lang w:val="en-US" w:eastAsia="zh-CN"/>
              </w:rPr>
              <w:t>目标</w:t>
            </w:r>
            <w:r>
              <w:rPr>
                <w:rFonts w:hint="eastAsia" w:ascii="宋体" w:hAnsi="宋体" w:cs="宋体"/>
                <w:sz w:val="18"/>
                <w:szCs w:val="18"/>
              </w:rPr>
              <w:t>：</w:t>
            </w:r>
            <w:r>
              <w:rPr>
                <w:rFonts w:hint="eastAsia" w:ascii="宋体" w:hAnsi="宋体"/>
                <w:bCs/>
                <w:sz w:val="18"/>
                <w:szCs w:val="18"/>
              </w:rPr>
              <w:t>熟练掌握各税种的计算与申报；掌握企业日常涉税业务中所涉及的税务基础理论知识；熟悉税务筹划基本理论、基本技术和基本方法。</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sz w:val="18"/>
                <w:szCs w:val="18"/>
              </w:rPr>
              <w:t>：运用税收知识</w:t>
            </w:r>
            <w:r>
              <w:rPr>
                <w:rFonts w:hint="eastAsia" w:ascii="宋体" w:hAnsi="宋体"/>
                <w:bCs/>
                <w:sz w:val="18"/>
                <w:szCs w:val="18"/>
              </w:rPr>
              <w:t>独立办理纳税申报，解决企业设立与经营、筹资、投资、投资等系列活动中会计方法的选择及简单的税务筹划问题。</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sz w:val="18"/>
                <w:szCs w:val="18"/>
              </w:rPr>
              <w:t>：培养遵纪守法意识、自主学习的习惯与能力；培养语言表达、文字写作能力，注重学生社会沟通能力和组织协调能力以及团队合作能力；具备运用经济法律、法规分析和解决问题的能力。</w:t>
            </w:r>
          </w:p>
        </w:tc>
        <w:tc>
          <w:tcPr>
            <w:tcW w:w="1322" w:type="pct"/>
            <w:vAlign w:val="center"/>
          </w:tcPr>
          <w:p w14:paraId="3F99D868">
            <w:pPr>
              <w:spacing w:line="240" w:lineRule="exact"/>
              <w:rPr>
                <w:rFonts w:hint="eastAsia" w:eastAsia="宋体" w:asciiTheme="minorEastAsia" w:hAnsiTheme="minorEastAsia" w:cstheme="minorEastAsia"/>
                <w:sz w:val="18"/>
                <w:szCs w:val="18"/>
                <w:lang w:eastAsia="zh-CN"/>
              </w:rPr>
            </w:pPr>
            <w:r>
              <w:rPr>
                <w:rFonts w:hint="eastAsia" w:ascii="宋体" w:hAnsi="宋体" w:cs="宋体"/>
                <w:sz w:val="18"/>
                <w:szCs w:val="18"/>
              </w:rPr>
              <w:t>（1）流转税计算、申报与筹划：税收基本制度及税收要素、增值税计算与筹划、消费税计算与筹划、关税计算与筹划。（2）所得税计算、申报与筹划：企业所得税计算与筹划、个人所得税计算与筹划。（3）其他税计算、申报与筹划。</w:t>
            </w:r>
            <w:r>
              <w:rPr>
                <w:rFonts w:hint="eastAsia"/>
                <w:sz w:val="18"/>
                <w:szCs w:val="18"/>
              </w:rPr>
              <w:t>（4）业财融合下的税务管理综合案例分析</w:t>
            </w:r>
            <w:r>
              <w:rPr>
                <w:rFonts w:hint="eastAsia"/>
                <w:sz w:val="18"/>
                <w:szCs w:val="18"/>
                <w:lang w:eastAsia="zh-CN"/>
              </w:rPr>
              <w:t>。</w:t>
            </w:r>
          </w:p>
        </w:tc>
      </w:tr>
      <w:tr w14:paraId="3DDF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57E53F90">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10C46682">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企业经营沙盘模拟</w:t>
            </w:r>
          </w:p>
        </w:tc>
        <w:tc>
          <w:tcPr>
            <w:tcW w:w="107" w:type="pct"/>
            <w:vAlign w:val="center"/>
          </w:tcPr>
          <w:p w14:paraId="599D51FB">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107" w:type="pct"/>
            <w:shd w:val="clear" w:color="auto" w:fill="auto"/>
            <w:vAlign w:val="center"/>
          </w:tcPr>
          <w:p w14:paraId="035EF257">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107" w:type="pct"/>
            <w:shd w:val="clear" w:color="auto" w:fill="auto"/>
            <w:vAlign w:val="center"/>
          </w:tcPr>
          <w:p w14:paraId="6C839326">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0EB104B4">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380E3672">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144B9114">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320961B1">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2CF58A56">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w w:val="99"/>
                <w:sz w:val="18"/>
                <w:szCs w:val="18"/>
                <w:lang w:val="en-US"/>
              </w:rPr>
              <w:t>3</w:t>
            </w:r>
          </w:p>
        </w:tc>
        <w:tc>
          <w:tcPr>
            <w:tcW w:w="162" w:type="pct"/>
            <w:shd w:val="clear" w:color="auto" w:fill="auto"/>
            <w:vAlign w:val="center"/>
          </w:tcPr>
          <w:p w14:paraId="62C8C035">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581E80F7">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学习企业的意义、形式、认知企业；学习管理的意义和目的，认知管理的重要性；学习企业部门的联系，明白沟通协作的意义；学习市场营销的意义和目的，营销的观念、策略制定的方法；学习企业融资渠道和策略，学习财务报表的解读；了解实时财务，学习杜邦分析法，大数据分析企业财务指标；学习企业人员管理知识，了解平衡记分卡；了解数字人力，学会使用AI、算法提升工作效率；了解生产组织结构，学习生产流程，学会成本控制；理解工业互联网，认知智能生产，明白智能生产的意义。</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了解并运用相关所学相关知识，掌握企业基本业务能力；通过实训和实践操作，能够完成在不同环境下模拟企业经营并盈利，能够发现并及时解决企业面对的突发问题，并对企业运行过程进行控制和监督；提升团队协作能力和实践能力；了解智能时代和传统时代的区别，借助智能系统进行实践操作，将理论变为实践。</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w:t>
            </w:r>
            <w:r>
              <w:rPr>
                <w:rFonts w:hint="eastAsia" w:ascii="宋体" w:hAnsi="宋体" w:eastAsia="宋体" w:cs="宋体"/>
                <w:sz w:val="18"/>
                <w:szCs w:val="18"/>
              </w:rPr>
              <w:t>明白企业对社会的重要意义</w:t>
            </w:r>
            <w:r>
              <w:rPr>
                <w:rFonts w:hint="eastAsia" w:ascii="宋体" w:hAnsi="宋体" w:eastAsia="宋体" w:cs="宋体"/>
                <w:sz w:val="18"/>
                <w:szCs w:val="18"/>
                <w:lang w:eastAsia="zh-CN"/>
              </w:rPr>
              <w:t>；</w:t>
            </w:r>
            <w:r>
              <w:rPr>
                <w:rFonts w:hint="eastAsia" w:ascii="宋体" w:hAnsi="宋体" w:eastAsia="宋体" w:cs="宋体"/>
                <w:sz w:val="18"/>
                <w:szCs w:val="18"/>
              </w:rPr>
              <w:t>学会企业家应当秉承的社会精神</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认识团结、合作的重要性；理解诚信经营的重要精神；了解不正当竞争的危害，树立正确的营销观；树立健康的税务观念；树立健康向上的金钱观；认知企业应当承担的社会劳动责任；学习劳动法规，正确使用和管理人力资源；学习中国制造发展史，理解中国制造精神；正确认识碳达峰与碳中和，理解可持续发展。</w:t>
            </w:r>
          </w:p>
        </w:tc>
        <w:tc>
          <w:tcPr>
            <w:tcW w:w="1322" w:type="pct"/>
            <w:vAlign w:val="center"/>
          </w:tcPr>
          <w:p w14:paraId="27484504">
            <w:pPr>
              <w:spacing w:line="240" w:lineRule="exact"/>
              <w:rPr>
                <w:rFonts w:hint="default" w:ascii="宋体" w:hAnsi="宋体" w:eastAsia="宋体" w:cs="宋体"/>
                <w:color w:val="000000"/>
                <w:sz w:val="21"/>
                <w:szCs w:val="24"/>
                <w:lang w:val="en-US" w:eastAsia="zh-CN" w:bidi="ar"/>
              </w:rPr>
            </w:pPr>
            <w:r>
              <w:rPr>
                <w:rFonts w:hint="eastAsia" w:asciiTheme="minorEastAsia" w:hAnsiTheme="minorEastAsia" w:eastAsiaTheme="minorEastAsia" w:cstheme="minorEastAsia"/>
                <w:sz w:val="18"/>
                <w:szCs w:val="18"/>
                <w:lang w:val="en-US" w:eastAsia="zh-CN"/>
              </w:rPr>
              <w:t>（</w:t>
            </w:r>
            <w:r>
              <w:rPr>
                <w:rFonts w:hint="eastAsia" w:ascii="宋体" w:hAnsi="宋体" w:eastAsia="宋体" w:cs="宋体"/>
                <w:sz w:val="18"/>
                <w:szCs w:val="18"/>
                <w:lang w:val="en-US" w:eastAsia="zh-CN"/>
              </w:rPr>
              <w:t>1）认识企业经营沙盘模拟。（2）企业经营管理学习。（3）企业经营沙盘模拟经营规则学习。（4）数智化企业模拟经营。（5）年复盘经营分析。</w:t>
            </w:r>
          </w:p>
        </w:tc>
      </w:tr>
      <w:tr w14:paraId="139B5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525945D1">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45D839FE">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财务管理综合实训</w:t>
            </w:r>
          </w:p>
        </w:tc>
        <w:tc>
          <w:tcPr>
            <w:tcW w:w="107" w:type="pct"/>
            <w:vAlign w:val="center"/>
          </w:tcPr>
          <w:p w14:paraId="1335A1AA">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107" w:type="pct"/>
            <w:shd w:val="clear" w:color="auto" w:fill="auto"/>
            <w:vAlign w:val="center"/>
          </w:tcPr>
          <w:p w14:paraId="0B87A8D0">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107" w:type="pct"/>
            <w:shd w:val="clear" w:color="auto" w:fill="auto"/>
            <w:vAlign w:val="center"/>
          </w:tcPr>
          <w:p w14:paraId="6E63F3EC">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0B91A610">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6D9C7B11">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272A316A">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18B67B43">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2BA38552">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w w:val="99"/>
                <w:sz w:val="18"/>
                <w:szCs w:val="18"/>
                <w:lang w:val="en-US"/>
              </w:rPr>
              <w:t>4</w:t>
            </w:r>
          </w:p>
        </w:tc>
        <w:tc>
          <w:tcPr>
            <w:tcW w:w="162" w:type="pct"/>
            <w:shd w:val="clear" w:color="auto" w:fill="auto"/>
            <w:vAlign w:val="center"/>
          </w:tcPr>
          <w:p w14:paraId="3B3E554F">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525BE2BE">
            <w:pPr>
              <w:spacing w:line="240" w:lineRule="exact"/>
              <w:rPr>
                <w:rFonts w:hint="eastAsia" w:asciiTheme="minorEastAsia" w:hAnsiTheme="minorEastAsia" w:eastAsiaTheme="minorEastAsia" w:cstheme="minorEastAsia"/>
                <w:sz w:val="18"/>
                <w:szCs w:val="18"/>
              </w:rPr>
            </w:pPr>
            <w:r>
              <w:rPr>
                <w:rFonts w:hint="eastAsia" w:ascii="宋体" w:hAnsi="宋体" w:cs="宋体"/>
                <w:b/>
                <w:bCs/>
                <w:sz w:val="18"/>
                <w:szCs w:val="18"/>
                <w:lang w:val="en-US" w:eastAsia="zh-CN"/>
              </w:rPr>
              <w:t>（1）</w:t>
            </w:r>
            <w:r>
              <w:rPr>
                <w:rFonts w:hint="eastAsia" w:ascii="宋体" w:hAnsi="宋体" w:eastAsia="宋体" w:cs="宋体"/>
                <w:b/>
                <w:bCs/>
                <w:sz w:val="18"/>
                <w:szCs w:val="18"/>
                <w:lang w:val="en-US" w:eastAsia="zh-CN"/>
              </w:rPr>
              <w:t>知识</w:t>
            </w:r>
            <w:r>
              <w:rPr>
                <w:rFonts w:hint="eastAsia" w:ascii="宋体" w:hAnsi="宋体" w:cs="宋体"/>
                <w:b/>
                <w:bCs/>
                <w:sz w:val="18"/>
                <w:szCs w:val="18"/>
                <w:lang w:val="en-US" w:eastAsia="zh-CN"/>
              </w:rPr>
              <w:t>目标</w:t>
            </w:r>
            <w:r>
              <w:rPr>
                <w:rFonts w:hint="eastAsia" w:ascii="宋体" w:hAnsi="宋体" w:eastAsia="宋体" w:cs="宋体"/>
                <w:b/>
                <w:bCs/>
                <w:sz w:val="18"/>
                <w:szCs w:val="18"/>
                <w:lang w:val="en-US" w:eastAsia="zh-CN"/>
              </w:rPr>
              <w:t>：</w:t>
            </w:r>
            <w:r>
              <w:rPr>
                <w:rFonts w:hint="default" w:ascii="宋体" w:hAnsi="宋体" w:eastAsia="宋体" w:cs="宋体"/>
                <w:sz w:val="18"/>
                <w:szCs w:val="18"/>
                <w:lang w:val="en-US" w:eastAsia="zh-CN"/>
              </w:rPr>
              <w:t xml:space="preserve">掌握企业运作的基本流程以及各环节的基本关系；掌握企业的资产结构、物流结构和现金流结构及其周转变化的特点与核算；掌握企业不断提高竞争力的战略规划、执行效率和细节安排。 </w:t>
            </w:r>
            <w:r>
              <w:rPr>
                <w:rFonts w:hint="eastAsia" w:ascii="宋体" w:hAnsi="宋体" w:cs="宋体"/>
                <w:b/>
                <w:bCs/>
                <w:sz w:val="18"/>
                <w:szCs w:val="18"/>
                <w:lang w:val="en-US" w:eastAsia="zh-CN"/>
              </w:rPr>
              <w:t>（2）</w:t>
            </w:r>
            <w:r>
              <w:rPr>
                <w:rFonts w:hint="default" w:ascii="宋体" w:hAnsi="宋体" w:eastAsia="宋体" w:cs="宋体"/>
                <w:b/>
                <w:bCs/>
                <w:sz w:val="18"/>
                <w:szCs w:val="18"/>
                <w:lang w:val="en-US" w:eastAsia="zh-CN"/>
              </w:rPr>
              <w:t>能力目标：</w:t>
            </w:r>
            <w:r>
              <w:rPr>
                <w:rFonts w:hint="default" w:ascii="宋体" w:hAnsi="宋体" w:eastAsia="宋体" w:cs="宋体"/>
                <w:sz w:val="18"/>
                <w:szCs w:val="18"/>
                <w:lang w:val="en-US" w:eastAsia="zh-CN"/>
              </w:rPr>
              <w:t>经过本课程的学习，学生应具备迅速处理信息的能力；准确把握关键问题的 能力；归纳发现基本规律的能力；合理运用竞争策略的能力；评估控制风险的能力</w:t>
            </w:r>
            <w:r>
              <w:rPr>
                <w:rFonts w:hint="eastAsia" w:ascii="宋体" w:hAnsi="宋体" w:cs="宋体"/>
                <w:sz w:val="18"/>
                <w:szCs w:val="18"/>
                <w:lang w:val="en-US" w:eastAsia="zh-CN"/>
              </w:rPr>
              <w:t>。</w:t>
            </w:r>
            <w:r>
              <w:rPr>
                <w:rFonts w:hint="eastAsia" w:ascii="宋体" w:hAnsi="宋体" w:cs="宋体"/>
                <w:b/>
                <w:bCs/>
                <w:sz w:val="18"/>
                <w:szCs w:val="18"/>
                <w:lang w:val="en-US" w:eastAsia="zh-CN"/>
              </w:rPr>
              <w:t>（3）素质目标</w:t>
            </w:r>
            <w:r>
              <w:rPr>
                <w:rFonts w:hint="eastAsia" w:ascii="宋体" w:hAnsi="宋体" w:cs="宋体"/>
                <w:sz w:val="18"/>
                <w:szCs w:val="18"/>
                <w:lang w:val="en-US" w:eastAsia="zh-CN"/>
              </w:rPr>
              <w:t>：</w:t>
            </w:r>
            <w:r>
              <w:rPr>
                <w:rFonts w:hint="default" w:ascii="宋体" w:hAnsi="宋体" w:eastAsia="宋体" w:cs="宋体"/>
                <w:sz w:val="18"/>
                <w:szCs w:val="18"/>
                <w:lang w:val="en-US" w:eastAsia="zh-CN"/>
              </w:rPr>
              <w:t>妥善处理团队关系的能力；深入思考和创新的思维能力。</w:t>
            </w:r>
          </w:p>
        </w:tc>
        <w:tc>
          <w:tcPr>
            <w:tcW w:w="1322" w:type="pct"/>
            <w:vAlign w:val="center"/>
          </w:tcPr>
          <w:p w14:paraId="4D690F2D">
            <w:pPr>
              <w:pStyle w:val="28"/>
              <w:keepNext w:val="0"/>
              <w:keepLines w:val="0"/>
              <w:pageBreakBefore w:val="0"/>
              <w:widowControl w:val="0"/>
              <w:kinsoku/>
              <w:wordWrap/>
              <w:overflowPunct/>
              <w:topLinePunct w:val="0"/>
              <w:autoSpaceDE/>
              <w:autoSpaceDN/>
              <w:bidi w:val="0"/>
              <w:adjustRightInd/>
              <w:snapToGrid/>
              <w:spacing w:line="240" w:lineRule="exact"/>
              <w:ind w:left="0" w:firstLine="0" w:firstLineChars="0"/>
              <w:jc w:val="both"/>
              <w:textAlignment w:val="auto"/>
              <w:rPr>
                <w:rFonts w:hint="default"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（1）实战企业概况介绍。（2）企业经营与规划预算。（3）账务处理。（4）纳税申报。（5）税务稽查。</w:t>
            </w:r>
          </w:p>
          <w:p w14:paraId="64A34C93">
            <w:pPr>
              <w:pStyle w:val="24"/>
              <w:spacing w:line="240" w:lineRule="auto"/>
              <w:ind w:left="105" w:leftChars="50" w:right="105" w:rightChars="50" w:firstLine="0" w:firstLineChars="0"/>
              <w:rPr>
                <w:rFonts w:hint="eastAsia" w:eastAsia="宋体" w:asciiTheme="minorEastAsia" w:hAnsiTheme="minorEastAsia" w:cstheme="minorEastAsia"/>
                <w:sz w:val="18"/>
                <w:szCs w:val="18"/>
                <w:lang w:eastAsia="zh-CN"/>
              </w:rPr>
            </w:pPr>
          </w:p>
        </w:tc>
      </w:tr>
      <w:tr w14:paraId="14501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493EA4E6">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0348EB2B">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业财一体化综合</w:t>
            </w:r>
            <w:r>
              <w:rPr>
                <w:rFonts w:hint="eastAsia" w:cs="宋体" w:asciiTheme="minorEastAsia" w:hAnsiTheme="minorEastAsia" w:eastAsiaTheme="minorEastAsia"/>
                <w:color w:val="000000"/>
                <w:kern w:val="0"/>
                <w:sz w:val="18"/>
                <w:szCs w:val="18"/>
              </w:rPr>
              <w:t>实训</w:t>
            </w:r>
          </w:p>
        </w:tc>
        <w:tc>
          <w:tcPr>
            <w:tcW w:w="107" w:type="pct"/>
            <w:vAlign w:val="center"/>
          </w:tcPr>
          <w:p w14:paraId="1F727B68">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107" w:type="pct"/>
            <w:shd w:val="clear" w:color="auto" w:fill="auto"/>
            <w:vAlign w:val="center"/>
          </w:tcPr>
          <w:p w14:paraId="05F513C3">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107" w:type="pct"/>
            <w:shd w:val="clear" w:color="auto" w:fill="auto"/>
            <w:vAlign w:val="center"/>
          </w:tcPr>
          <w:p w14:paraId="2603D531">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2</w:t>
            </w:r>
            <w:r>
              <w:rPr>
                <w:rFonts w:hint="eastAsia" w:asciiTheme="minorEastAsia" w:hAnsiTheme="minorEastAsia" w:eastAsiaTheme="minorEastAsia" w:cstheme="minorEastAsia"/>
                <w:sz w:val="18"/>
                <w:szCs w:val="18"/>
                <w:lang w:val="en-US"/>
              </w:rPr>
              <w:t>.5</w:t>
            </w:r>
          </w:p>
        </w:tc>
        <w:tc>
          <w:tcPr>
            <w:tcW w:w="107" w:type="pct"/>
            <w:shd w:val="clear" w:color="auto" w:fill="auto"/>
            <w:vAlign w:val="center"/>
          </w:tcPr>
          <w:p w14:paraId="7C1678DC">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w:t>
            </w:r>
          </w:p>
        </w:tc>
        <w:tc>
          <w:tcPr>
            <w:tcW w:w="107" w:type="pct"/>
            <w:shd w:val="clear" w:color="auto" w:fill="auto"/>
            <w:vAlign w:val="center"/>
          </w:tcPr>
          <w:p w14:paraId="05279BBE">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5B8E7966">
            <w:pPr>
              <w:widowControl/>
              <w:jc w:val="center"/>
              <w:textAlignment w:val="center"/>
              <w:rPr>
                <w:rFonts w:hint="eastAsia" w:asciiTheme="minorEastAsia" w:hAnsiTheme="minorEastAsia" w:eastAsiaTheme="minorEastAsia" w:cstheme="minorEastAsia"/>
                <w:sz w:val="18"/>
                <w:szCs w:val="18"/>
              </w:rPr>
            </w:pPr>
            <w:r>
              <w:rPr>
                <w:rFonts w:hint="eastAsia" w:cs="宋体" w:asciiTheme="minorEastAsia" w:hAnsiTheme="minorEastAsia" w:eastAsiaTheme="minorEastAsia"/>
                <w:w w:val="99"/>
                <w:sz w:val="18"/>
                <w:szCs w:val="18"/>
              </w:rPr>
              <w:t>38</w:t>
            </w:r>
          </w:p>
        </w:tc>
        <w:tc>
          <w:tcPr>
            <w:tcW w:w="107" w:type="pct"/>
            <w:shd w:val="clear" w:color="auto" w:fill="auto"/>
            <w:vAlign w:val="center"/>
          </w:tcPr>
          <w:p w14:paraId="03D432C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7EAD6F6F">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w w:val="99"/>
                <w:sz w:val="18"/>
                <w:szCs w:val="18"/>
                <w:lang w:val="en-US"/>
              </w:rPr>
              <w:t>4</w:t>
            </w:r>
          </w:p>
        </w:tc>
        <w:tc>
          <w:tcPr>
            <w:tcW w:w="162" w:type="pct"/>
            <w:shd w:val="clear" w:color="auto" w:fill="auto"/>
            <w:vAlign w:val="center"/>
          </w:tcPr>
          <w:p w14:paraId="5E98DF6C">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0CEEBB40">
            <w:pPr>
              <w:keepNext w:val="0"/>
              <w:keepLines w:val="0"/>
              <w:pageBreakBefore w:val="0"/>
              <w:widowControl w:val="0"/>
              <w:numPr>
                <w:ilvl w:val="0"/>
                <w:numId w:val="0"/>
              </w:numPr>
              <w:kinsoku/>
              <w:wordWrap/>
              <w:overflowPunct/>
              <w:topLinePunct w:val="0"/>
              <w:autoSpaceDE/>
              <w:autoSpaceDN/>
              <w:bidi w:val="0"/>
              <w:spacing w:line="240" w:lineRule="exact"/>
              <w:textAlignment w:val="auto"/>
              <w:rPr>
                <w:rFonts w:hint="eastAsia" w:ascii="宋体" w:hAnsi="宋体" w:cs="宋体"/>
                <w:sz w:val="18"/>
                <w:szCs w:val="18"/>
                <w:lang w:val="en-US" w:eastAsia="zh-CN"/>
              </w:rPr>
            </w:pPr>
            <w:r>
              <w:rPr>
                <w:rFonts w:hint="eastAsia" w:ascii="宋体" w:hAnsi="宋体" w:eastAsia="宋体" w:cs="宋体"/>
                <w:b/>
                <w:bCs/>
                <w:kern w:val="2"/>
                <w:sz w:val="18"/>
                <w:szCs w:val="18"/>
                <w:lang w:val="en-US" w:eastAsia="zh-CN" w:bidi="ar-SA"/>
              </w:rPr>
              <w:t>（1）</w:t>
            </w:r>
            <w:r>
              <w:rPr>
                <w:rFonts w:hint="eastAsia" w:ascii="宋体" w:hAnsi="宋体" w:eastAsia="宋体" w:cs="宋体"/>
                <w:b/>
                <w:bCs/>
                <w:sz w:val="18"/>
                <w:szCs w:val="18"/>
                <w:lang w:val="en-US" w:eastAsia="zh-CN"/>
              </w:rPr>
              <w:t>知识目标：</w:t>
            </w:r>
            <w:r>
              <w:rPr>
                <w:rFonts w:hint="eastAsia" w:ascii="宋体" w:hAnsi="宋体" w:eastAsia="宋体" w:cs="宋体"/>
                <w:sz w:val="18"/>
                <w:szCs w:val="18"/>
                <w:lang w:val="en-US" w:eastAsia="zh-CN"/>
              </w:rPr>
              <w:t>加强学生对于业财一体内容的熟练操作；熟悉新的商业社会环境下的业务内容与业务流程流程；掌握新的财税政策下的业务财务处理内容；掌握税务岗位的信息化工作技能；掌握财务分析岗位的工作技能。</w:t>
            </w:r>
            <w:r>
              <w:rPr>
                <w:rFonts w:hint="eastAsia" w:ascii="宋体" w:hAnsi="宋体" w:eastAsia="宋体" w:cs="宋体"/>
                <w:b/>
                <w:bCs/>
                <w:sz w:val="18"/>
                <w:szCs w:val="18"/>
                <w:lang w:val="en-US" w:eastAsia="zh-CN"/>
              </w:rPr>
              <w:t>（2）能力目标</w:t>
            </w:r>
            <w:r>
              <w:rPr>
                <w:rFonts w:hint="eastAsia" w:ascii="宋体" w:hAnsi="宋体" w:eastAsia="宋体" w:cs="宋体"/>
                <w:sz w:val="18"/>
                <w:szCs w:val="18"/>
                <w:lang w:val="en-US" w:eastAsia="zh-CN"/>
              </w:rPr>
              <w:t>：能够基于业财一体信息化平台进行案例企业的基础设置与维护；能够对案例企业的供应链、费用报销、合同管理等业务数据进行流程设计与全流程操作；能够对案例企业的应收应收付、固定资产、薪资数据进行个性化设置与业务数据处理；能够对案例企业的财务数据进行自动生成凭证、自动期末结转、自动生成报表等设置；能够进行税款的计算和缴纳以及基础的税收筹划工作。</w:t>
            </w:r>
            <w:r>
              <w:rPr>
                <w:rFonts w:hint="eastAsia" w:ascii="宋体" w:hAnsi="宋体" w:eastAsia="宋体" w:cs="宋体"/>
                <w:b/>
                <w:bCs/>
                <w:sz w:val="18"/>
                <w:szCs w:val="18"/>
                <w:lang w:val="en-US" w:eastAsia="zh-CN"/>
              </w:rPr>
              <w:t>（3）素质目标：</w:t>
            </w:r>
            <w:r>
              <w:rPr>
                <w:rFonts w:hint="eastAsia" w:ascii="宋体" w:hAnsi="宋体" w:eastAsia="宋体" w:cs="宋体"/>
                <w:sz w:val="18"/>
                <w:szCs w:val="18"/>
                <w:lang w:val="en-US" w:eastAsia="zh-CN"/>
              </w:rPr>
              <w:t>培养学生大胆探索、诚信的良好品质；培养学生对于业务的认知以及良好的沟通能力；培养会计工作的严谨性及对于数字的敏感性</w:t>
            </w:r>
            <w:r>
              <w:rPr>
                <w:rFonts w:hint="eastAsia" w:ascii="宋体" w:hAnsi="宋体" w:cs="宋体"/>
                <w:sz w:val="18"/>
                <w:szCs w:val="18"/>
                <w:lang w:val="en-US" w:eastAsia="zh-CN"/>
              </w:rPr>
              <w:t>。</w:t>
            </w:r>
          </w:p>
        </w:tc>
        <w:tc>
          <w:tcPr>
            <w:tcW w:w="1322" w:type="pct"/>
            <w:vAlign w:val="center"/>
          </w:tcPr>
          <w:p w14:paraId="48C6F920">
            <w:pPr>
              <w:pStyle w:val="24"/>
              <w:keepNext w:val="0"/>
              <w:keepLines w:val="0"/>
              <w:pageBreakBefore w:val="0"/>
              <w:widowControl w:val="0"/>
              <w:numPr>
                <w:ilvl w:val="0"/>
                <w:numId w:val="0"/>
              </w:numPr>
              <w:kinsoku/>
              <w:wordWrap/>
              <w:overflowPunct/>
              <w:topLinePunct w:val="0"/>
              <w:autoSpaceDE/>
              <w:autoSpaceDN/>
              <w:bidi w:val="0"/>
              <w:spacing w:line="240" w:lineRule="exact"/>
              <w:ind w:left="0" w:leftChars="0" w:right="105" w:rightChars="50" w:firstLine="0" w:firstLineChars="0"/>
              <w:textAlignment w:val="auto"/>
              <w:rPr>
                <w:rFonts w:hint="eastAsia" w:eastAsia="宋体" w:asciiTheme="minorEastAsia" w:hAnsiTheme="minorEastAsia" w:cstheme="minorEastAsia"/>
                <w:sz w:val="18"/>
                <w:szCs w:val="18"/>
                <w:lang w:eastAsia="zh-CN"/>
              </w:rPr>
            </w:pPr>
            <w:r>
              <w:rPr>
                <w:rFonts w:hint="eastAsia" w:eastAsia="宋体" w:asciiTheme="minorEastAsia" w:hAnsiTheme="minorEastAsia" w:cstheme="minorEastAsia"/>
                <w:kern w:val="2"/>
                <w:sz w:val="18"/>
                <w:szCs w:val="18"/>
                <w:lang w:val="zh-CN" w:eastAsia="zh-CN" w:bidi="zh-CN"/>
              </w:rPr>
              <w:t>（1）</w:t>
            </w:r>
            <w:r>
              <w:rPr>
                <w:rFonts w:hint="eastAsia" w:ascii="宋体" w:hAnsi="宋体" w:eastAsia="宋体" w:cs="宋体"/>
                <w:kern w:val="2"/>
                <w:sz w:val="18"/>
                <w:szCs w:val="18"/>
                <w:lang w:val="en-US" w:eastAsia="zh-CN" w:bidi="ar-SA"/>
              </w:rPr>
              <w:t>业财一体信息化平台业流程实施。（2）业财一体信息化平台期初数据维护。（3）业财一体信息化平台财务处理：筹资业务、采购业务、生产业务、销售业务、投资业务、分配业务等。（4）税务业务管理。（5）业财一体信息化平台期末业财账务处理。</w:t>
            </w:r>
          </w:p>
        </w:tc>
      </w:tr>
      <w:tr w14:paraId="46E99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2" w:hRule="atLeast"/>
          <w:jc w:val="center"/>
        </w:trPr>
        <w:tc>
          <w:tcPr>
            <w:tcW w:w="120" w:type="pct"/>
            <w:vMerge w:val="continue"/>
            <w:vAlign w:val="center"/>
          </w:tcPr>
          <w:p w14:paraId="5F05E50F">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00314D97">
            <w:pPr>
              <w:jc w:val="center"/>
              <w:rPr>
                <w:rFonts w:hint="eastAsia"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毕业设计</w:t>
            </w:r>
          </w:p>
        </w:tc>
        <w:tc>
          <w:tcPr>
            <w:tcW w:w="107" w:type="pct"/>
            <w:vAlign w:val="center"/>
          </w:tcPr>
          <w:p w14:paraId="7E7A44D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C</w:t>
            </w:r>
          </w:p>
        </w:tc>
        <w:tc>
          <w:tcPr>
            <w:tcW w:w="107" w:type="pct"/>
            <w:shd w:val="clear" w:color="auto" w:fill="auto"/>
            <w:vAlign w:val="center"/>
          </w:tcPr>
          <w:p w14:paraId="33B0B62B">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rPr>
            </w:pPr>
            <w:r>
              <w:rPr>
                <w:rFonts w:hint="eastAsia" w:asciiTheme="minorEastAsia" w:hAnsiTheme="minorEastAsia" w:eastAsiaTheme="minorEastAsia" w:cstheme="minorEastAsia"/>
                <w:w w:val="99"/>
                <w:sz w:val="18"/>
                <w:szCs w:val="18"/>
                <w:lang w:val="en-US"/>
              </w:rPr>
              <w:t>必修</w:t>
            </w:r>
          </w:p>
        </w:tc>
        <w:tc>
          <w:tcPr>
            <w:tcW w:w="107" w:type="pct"/>
            <w:shd w:val="clear" w:color="auto" w:fill="auto"/>
            <w:vAlign w:val="center"/>
          </w:tcPr>
          <w:p w14:paraId="1D49566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21858664">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1A81684C">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2</w:t>
            </w:r>
          </w:p>
        </w:tc>
        <w:tc>
          <w:tcPr>
            <w:tcW w:w="107" w:type="pct"/>
            <w:shd w:val="clear" w:color="auto" w:fill="auto"/>
            <w:vAlign w:val="center"/>
          </w:tcPr>
          <w:p w14:paraId="718AE766">
            <w:pPr>
              <w:widowControl/>
              <w:jc w:val="center"/>
              <w:textAlignment w:val="center"/>
              <w:rPr>
                <w:rFonts w:hint="eastAsia" w:cs="宋体" w:asciiTheme="minorEastAsia" w:hAnsiTheme="minorEastAsia" w:eastAsiaTheme="minorEastAsia"/>
                <w:w w:val="99"/>
                <w:sz w:val="18"/>
                <w:szCs w:val="18"/>
              </w:rPr>
            </w:pPr>
            <w:r>
              <w:rPr>
                <w:rFonts w:hint="eastAsia" w:cs="宋体" w:asciiTheme="minorEastAsia" w:hAnsiTheme="minorEastAsia" w:eastAsiaTheme="minorEastAsia"/>
                <w:w w:val="99"/>
                <w:sz w:val="18"/>
                <w:szCs w:val="18"/>
              </w:rPr>
              <w:t>62</w:t>
            </w:r>
          </w:p>
        </w:tc>
        <w:tc>
          <w:tcPr>
            <w:tcW w:w="107" w:type="pct"/>
            <w:shd w:val="clear" w:color="auto" w:fill="auto"/>
            <w:vAlign w:val="center"/>
          </w:tcPr>
          <w:p w14:paraId="78DC324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3282DD16">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rPr>
            </w:pPr>
            <w:r>
              <w:rPr>
                <w:rFonts w:hint="eastAsia" w:asciiTheme="minorEastAsia" w:hAnsiTheme="minorEastAsia" w:eastAsiaTheme="minorEastAsia" w:cstheme="minorEastAsia"/>
                <w:w w:val="99"/>
                <w:sz w:val="18"/>
                <w:szCs w:val="18"/>
                <w:lang w:val="en-US"/>
              </w:rPr>
              <w:t>5、6</w:t>
            </w:r>
          </w:p>
        </w:tc>
        <w:tc>
          <w:tcPr>
            <w:tcW w:w="162" w:type="pct"/>
            <w:shd w:val="clear" w:color="auto" w:fill="auto"/>
            <w:vAlign w:val="center"/>
          </w:tcPr>
          <w:p w14:paraId="61686D7B">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2267" w:type="pct"/>
            <w:shd w:val="clear" w:color="auto" w:fill="auto"/>
            <w:vAlign w:val="center"/>
          </w:tcPr>
          <w:p w14:paraId="41AC96CE">
            <w:pPr>
              <w:adjustRightInd w:val="0"/>
              <w:snapToGrid w:val="0"/>
              <w:ind w:firstLine="0" w:firstLineChars="0"/>
              <w:rPr>
                <w:rFonts w:ascii="宋体" w:hAnsi="宋体" w:cs="宋体"/>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）知识</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了解毕业设计方案的基本方法、技术手段，掌握现场调研考察及现场资料收集整理的方法和步骤，设计务实可行毕业设计方案。</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运用信息化手段解决文献资料归纳分析、写作及图文表格排版等问题。</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b/>
                <w:sz w:val="18"/>
                <w:szCs w:val="18"/>
              </w:rPr>
              <w:t>：</w:t>
            </w:r>
            <w:r>
              <w:rPr>
                <w:rFonts w:hint="eastAsia" w:ascii="宋体" w:hAnsi="宋体" w:cs="宋体"/>
                <w:sz w:val="18"/>
                <w:szCs w:val="18"/>
              </w:rPr>
              <w:t>培养具有良好的人际沟通与团队协作意识，具有一定的职业判断能力。</w:t>
            </w:r>
          </w:p>
          <w:p w14:paraId="256F7952">
            <w:pPr>
              <w:pStyle w:val="24"/>
              <w:ind w:left="0" w:leftChars="0" w:right="105" w:rightChars="50" w:firstLine="0" w:firstLineChars="0"/>
              <w:rPr>
                <w:rFonts w:hint="eastAsia" w:asciiTheme="minorEastAsia" w:hAnsiTheme="minorEastAsia" w:eastAsiaTheme="minorEastAsia" w:cstheme="minorEastAsia"/>
                <w:sz w:val="18"/>
                <w:szCs w:val="18"/>
              </w:rPr>
            </w:pPr>
          </w:p>
        </w:tc>
        <w:tc>
          <w:tcPr>
            <w:tcW w:w="1322" w:type="pct"/>
            <w:vAlign w:val="center"/>
          </w:tcPr>
          <w:p w14:paraId="6A036830">
            <w:pPr>
              <w:pStyle w:val="24"/>
              <w:spacing w:line="240" w:lineRule="auto"/>
              <w:ind w:left="0" w:right="105" w:rightChars="50" w:firstLine="0" w:firstLineChars="0"/>
              <w:rPr>
                <w:rFonts w:hint="eastAsia" w:eastAsia="宋体" w:asciiTheme="minorEastAsia" w:hAnsiTheme="minorEastAsia" w:cstheme="minorEastAsia"/>
                <w:color w:val="000000" w:themeColor="text1"/>
                <w:sz w:val="18"/>
                <w:szCs w:val="18"/>
                <w:lang w:val="en-US" w:eastAsia="zh-CN"/>
                <w14:textFill>
                  <w14:solidFill>
                    <w14:schemeClr w14:val="tx1"/>
                  </w14:solidFill>
                </w14:textFill>
              </w:rPr>
            </w:pPr>
            <w:r>
              <w:rPr>
                <w:rFonts w:hint="eastAsia" w:ascii="宋体" w:hAnsi="宋体" w:cs="宋体"/>
                <w:sz w:val="18"/>
                <w:szCs w:val="18"/>
                <w:lang w:val="en-US" w:eastAsia="zh-CN"/>
              </w:rPr>
              <w:t>可选择</w:t>
            </w:r>
            <w:r>
              <w:rPr>
                <w:rFonts w:hint="eastAsia" w:ascii="宋体" w:hAnsi="宋体" w:cs="宋体"/>
                <w:sz w:val="18"/>
                <w:szCs w:val="18"/>
                <w:lang w:eastAsia="zh-CN"/>
              </w:rPr>
              <w:t>：</w:t>
            </w:r>
            <w:r>
              <w:rPr>
                <w:rFonts w:hint="eastAsia" w:ascii="宋体" w:hAnsi="宋体" w:cs="宋体"/>
                <w:sz w:val="18"/>
                <w:szCs w:val="18"/>
              </w:rPr>
              <w:t>业财融合采购管理优化方案</w:t>
            </w:r>
            <w:r>
              <w:rPr>
                <w:rFonts w:hint="eastAsia" w:ascii="宋体" w:hAnsi="宋体" w:cs="宋体"/>
                <w:sz w:val="18"/>
                <w:szCs w:val="18"/>
                <w:lang w:eastAsia="zh-CN"/>
              </w:rPr>
              <w:t>、</w:t>
            </w:r>
            <w:r>
              <w:rPr>
                <w:rFonts w:hint="eastAsia" w:ascii="宋体" w:hAnsi="宋体" w:cs="宋体"/>
                <w:sz w:val="18"/>
                <w:szCs w:val="18"/>
              </w:rPr>
              <w:t>业财融合生产管理优化方案</w:t>
            </w:r>
            <w:r>
              <w:rPr>
                <w:rFonts w:hint="eastAsia" w:ascii="宋体" w:hAnsi="宋体" w:cs="宋体"/>
                <w:sz w:val="18"/>
                <w:szCs w:val="18"/>
                <w:lang w:eastAsia="zh-CN"/>
              </w:rPr>
              <w:t>、</w:t>
            </w:r>
            <w:r>
              <w:rPr>
                <w:rFonts w:hint="eastAsia" w:ascii="宋体" w:hAnsi="宋体" w:cs="宋体"/>
                <w:sz w:val="18"/>
                <w:szCs w:val="18"/>
              </w:rPr>
              <w:t>业财融合销售管理优化方案</w:t>
            </w:r>
            <w:r>
              <w:rPr>
                <w:rFonts w:hint="eastAsia" w:ascii="宋体" w:hAnsi="宋体" w:cs="宋体"/>
                <w:sz w:val="18"/>
                <w:szCs w:val="18"/>
                <w:lang w:eastAsia="zh-CN"/>
              </w:rPr>
              <w:t>、</w:t>
            </w:r>
            <w:r>
              <w:rPr>
                <w:rFonts w:hint="eastAsia" w:ascii="宋体" w:hAnsi="宋体" w:cs="宋体"/>
                <w:sz w:val="18"/>
                <w:szCs w:val="18"/>
              </w:rPr>
              <w:t>业财融合筹资方案设计</w:t>
            </w:r>
            <w:r>
              <w:rPr>
                <w:rFonts w:hint="eastAsia" w:ascii="宋体" w:hAnsi="宋体" w:cs="宋体"/>
                <w:sz w:val="18"/>
                <w:szCs w:val="18"/>
                <w:lang w:eastAsia="zh-CN"/>
              </w:rPr>
              <w:t>、</w:t>
            </w:r>
            <w:r>
              <w:rPr>
                <w:rFonts w:hint="eastAsia" w:ascii="宋体" w:hAnsi="宋体" w:cs="宋体"/>
                <w:sz w:val="18"/>
                <w:szCs w:val="18"/>
              </w:rPr>
              <w:t>业财融合投资方案设计</w:t>
            </w:r>
            <w:r>
              <w:rPr>
                <w:rFonts w:hint="eastAsia" w:ascii="宋体" w:hAnsi="宋体" w:cs="宋体"/>
                <w:sz w:val="18"/>
                <w:szCs w:val="18"/>
                <w:lang w:eastAsia="zh-CN"/>
              </w:rPr>
              <w:t>、</w:t>
            </w:r>
            <w:r>
              <w:rPr>
                <w:rFonts w:hint="eastAsia" w:ascii="宋体" w:hAnsi="宋体" w:cs="宋体"/>
                <w:sz w:val="18"/>
                <w:szCs w:val="18"/>
              </w:rPr>
              <w:t>业财融合分配方案设计</w:t>
            </w:r>
            <w:r>
              <w:rPr>
                <w:rFonts w:hint="eastAsia" w:ascii="宋体" w:hAnsi="宋体" w:cs="宋体"/>
                <w:sz w:val="18"/>
                <w:szCs w:val="18"/>
                <w:lang w:eastAsia="zh-CN"/>
              </w:rPr>
              <w:t>、</w:t>
            </w:r>
            <w:r>
              <w:rPr>
                <w:rFonts w:hint="eastAsia" w:ascii="宋体" w:hAnsi="宋体" w:cs="宋体"/>
                <w:sz w:val="18"/>
                <w:szCs w:val="18"/>
              </w:rPr>
              <w:t>业财融合财务分析报告</w:t>
            </w:r>
            <w:r>
              <w:rPr>
                <w:rFonts w:hint="eastAsia" w:ascii="宋体" w:hAnsi="宋体" w:cs="宋体"/>
                <w:sz w:val="18"/>
                <w:szCs w:val="18"/>
                <w:lang w:eastAsia="zh-CN"/>
              </w:rPr>
              <w:t>、</w:t>
            </w:r>
            <w:r>
              <w:rPr>
                <w:rFonts w:hint="eastAsia" w:ascii="宋体" w:hAnsi="宋体" w:cs="宋体"/>
                <w:sz w:val="18"/>
                <w:szCs w:val="18"/>
              </w:rPr>
              <w:t>财务预算报告</w:t>
            </w:r>
            <w:r>
              <w:rPr>
                <w:rFonts w:hint="eastAsia" w:ascii="宋体" w:hAnsi="宋体" w:cs="宋体"/>
                <w:sz w:val="18"/>
                <w:szCs w:val="18"/>
                <w:lang w:eastAsia="zh-CN"/>
              </w:rPr>
              <w:t>、</w:t>
            </w:r>
            <w:r>
              <w:rPr>
                <w:rFonts w:hint="eastAsia" w:ascii="宋体" w:hAnsi="宋体" w:cs="宋体"/>
                <w:sz w:val="18"/>
                <w:szCs w:val="18"/>
              </w:rPr>
              <w:t>项目可行性分析报告</w:t>
            </w:r>
            <w:r>
              <w:rPr>
                <w:rFonts w:hint="eastAsia" w:cs="宋体"/>
                <w:sz w:val="18"/>
                <w:szCs w:val="18"/>
                <w:lang w:eastAsia="zh-CN"/>
              </w:rPr>
              <w:t>、</w:t>
            </w:r>
            <w:r>
              <w:rPr>
                <w:rFonts w:hint="eastAsia"/>
                <w:sz w:val="18"/>
                <w:szCs w:val="18"/>
              </w:rPr>
              <w:t>企业业财融合调查报告</w:t>
            </w:r>
            <w:r>
              <w:rPr>
                <w:rFonts w:hint="eastAsia"/>
                <w:sz w:val="18"/>
                <w:szCs w:val="18"/>
                <w:lang w:val="en-US" w:eastAsia="zh-CN"/>
              </w:rPr>
              <w:t>等。</w:t>
            </w:r>
          </w:p>
        </w:tc>
      </w:tr>
      <w:tr w14:paraId="53295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09E6633C">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263" w:type="pct"/>
            <w:shd w:val="clear" w:color="auto" w:fill="auto"/>
            <w:vAlign w:val="center"/>
          </w:tcPr>
          <w:p w14:paraId="6679A2F3">
            <w:pPr>
              <w:widowControl/>
              <w:jc w:val="center"/>
              <w:textAlignment w:val="center"/>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业财税岗位</w:t>
            </w:r>
          </w:p>
          <w:p w14:paraId="636D4048">
            <w:pPr>
              <w:widowControl/>
              <w:jc w:val="center"/>
              <w:textAlignment w:val="center"/>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实习</w:t>
            </w:r>
          </w:p>
        </w:tc>
        <w:tc>
          <w:tcPr>
            <w:tcW w:w="107" w:type="pct"/>
            <w:vAlign w:val="center"/>
          </w:tcPr>
          <w:p w14:paraId="7147FB98">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C</w:t>
            </w:r>
          </w:p>
        </w:tc>
        <w:tc>
          <w:tcPr>
            <w:tcW w:w="107" w:type="pct"/>
            <w:shd w:val="clear" w:color="auto" w:fill="auto"/>
            <w:vAlign w:val="center"/>
          </w:tcPr>
          <w:p w14:paraId="718BF691">
            <w:pPr>
              <w:pStyle w:val="24"/>
              <w:spacing w:line="240" w:lineRule="auto"/>
              <w:ind w:left="0" w:firstLine="0" w:firstLineChars="0"/>
              <w:jc w:val="center"/>
              <w:rPr>
                <w:rFonts w:hint="eastAsia" w:asciiTheme="minorEastAsia" w:hAnsiTheme="minorEastAsia" w:eastAsiaTheme="minorEastAsia" w:cstheme="minorEastAsia"/>
                <w:w w:val="99"/>
                <w:sz w:val="18"/>
                <w:szCs w:val="18"/>
                <w:lang w:val="en-US" w:eastAsia="en-US"/>
              </w:rPr>
            </w:pPr>
            <w:r>
              <w:rPr>
                <w:rFonts w:asciiTheme="minorEastAsia" w:hAnsiTheme="minorEastAsia" w:eastAsiaTheme="minorEastAsia" w:cstheme="minorEastAsia"/>
                <w:w w:val="99"/>
                <w:sz w:val="18"/>
                <w:szCs w:val="18"/>
              </w:rPr>
              <w:t>必修</w:t>
            </w:r>
          </w:p>
        </w:tc>
        <w:tc>
          <w:tcPr>
            <w:tcW w:w="107" w:type="pct"/>
            <w:shd w:val="clear" w:color="auto" w:fill="auto"/>
            <w:vAlign w:val="center"/>
          </w:tcPr>
          <w:p w14:paraId="217F1EBA">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6</w:t>
            </w:r>
          </w:p>
        </w:tc>
        <w:tc>
          <w:tcPr>
            <w:tcW w:w="107" w:type="pct"/>
            <w:shd w:val="clear" w:color="auto" w:fill="auto"/>
            <w:vAlign w:val="center"/>
          </w:tcPr>
          <w:p w14:paraId="24CA7766">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400</w:t>
            </w:r>
          </w:p>
        </w:tc>
        <w:tc>
          <w:tcPr>
            <w:tcW w:w="107" w:type="pct"/>
            <w:shd w:val="clear" w:color="auto" w:fill="auto"/>
            <w:vAlign w:val="center"/>
          </w:tcPr>
          <w:p w14:paraId="065355E1">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0</w:t>
            </w:r>
          </w:p>
        </w:tc>
        <w:tc>
          <w:tcPr>
            <w:tcW w:w="107" w:type="pct"/>
            <w:shd w:val="clear" w:color="auto" w:fill="auto"/>
            <w:vAlign w:val="center"/>
          </w:tcPr>
          <w:p w14:paraId="461259B3">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400</w:t>
            </w:r>
          </w:p>
        </w:tc>
        <w:tc>
          <w:tcPr>
            <w:tcW w:w="107" w:type="pct"/>
            <w:shd w:val="clear" w:color="auto" w:fill="auto"/>
            <w:vAlign w:val="center"/>
          </w:tcPr>
          <w:p w14:paraId="49081460">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08" w:type="pct"/>
            <w:shd w:val="clear" w:color="auto" w:fill="auto"/>
            <w:vAlign w:val="center"/>
          </w:tcPr>
          <w:p w14:paraId="56027360">
            <w:pPr>
              <w:pStyle w:val="24"/>
              <w:spacing w:line="240" w:lineRule="auto"/>
              <w:ind w:left="0" w:firstLine="0" w:firstLineChars="0"/>
              <w:jc w:val="center"/>
              <w:rPr>
                <w:rFonts w:hint="eastAsia" w:asciiTheme="minorEastAsia" w:hAnsiTheme="minorEastAsia" w:eastAsiaTheme="minorEastAsia" w:cstheme="minorEastAsia"/>
                <w:w w:val="99"/>
                <w:sz w:val="18"/>
                <w:szCs w:val="18"/>
              </w:rPr>
            </w:pPr>
            <w:r>
              <w:rPr>
                <w:rFonts w:asciiTheme="minorEastAsia" w:hAnsiTheme="minorEastAsia" w:eastAsiaTheme="minorEastAsia" w:cstheme="minorEastAsia"/>
                <w:w w:val="99"/>
                <w:sz w:val="18"/>
                <w:szCs w:val="18"/>
              </w:rPr>
              <w:t>7、8</w:t>
            </w:r>
          </w:p>
        </w:tc>
        <w:tc>
          <w:tcPr>
            <w:tcW w:w="162" w:type="pct"/>
            <w:shd w:val="clear" w:color="auto" w:fill="auto"/>
            <w:vAlign w:val="center"/>
          </w:tcPr>
          <w:p w14:paraId="3711152C">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企业</w:t>
            </w:r>
          </w:p>
        </w:tc>
        <w:tc>
          <w:tcPr>
            <w:tcW w:w="2267" w:type="pct"/>
            <w:shd w:val="clear" w:color="auto" w:fill="auto"/>
            <w:vAlign w:val="center"/>
          </w:tcPr>
          <w:p w14:paraId="25661705">
            <w:pPr>
              <w:pStyle w:val="24"/>
              <w:spacing w:line="240" w:lineRule="auto"/>
              <w:ind w:left="105" w:leftChars="50" w:right="105" w:rightChars="50" w:firstLine="0" w:firstLineChars="0"/>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运</w:t>
            </w:r>
            <w:r>
              <w:rPr>
                <w:rFonts w:hint="eastAsia"/>
                <w:sz w:val="18"/>
                <w:szCs w:val="18"/>
                <w:lang w:val="en-US" w:bidi="ar-SA"/>
              </w:rPr>
              <w:t>用业务、财务、税务基本理论知识解决企业筹资、投资、采购、生产、销售和分配等环节的业务管理问题，基于财税视角处理企业的日常经济业务，将学到的业财税知识应用到实务操作中，增强其解决实际问题的能力。通过在企业实际数智化管理软件中的实际操作，提高学生的实际操作能力和工作效率，确保学生能够胜任筹资、采购、生产、销售、分配和投资等业务管理岗位的实务工作。强化学生对各业务管理岗位特定需求的理解，通过实际操作经验的积累，培养职业适应能力和岗位转换的灵活性。通过各业财数据应用与管理岗位的实习任务，训练学生在面对复杂的业务、财务、税务问题时能保持冷静，进行逻辑清晰的分析和从容的应对。通过团队协作完成筹资、采购、生产、销售、分配和投资等业务管理岗位的实习项目，培养学会有效沟通，共同解决问题的能力。</w:t>
            </w:r>
          </w:p>
        </w:tc>
        <w:tc>
          <w:tcPr>
            <w:tcW w:w="1322" w:type="pct"/>
            <w:vAlign w:val="center"/>
          </w:tcPr>
          <w:p w14:paraId="03183802">
            <w:pPr>
              <w:adjustRightInd w:val="0"/>
              <w:snapToGrid w:val="0"/>
              <w:jc w:val="left"/>
              <w:rPr>
                <w:rFonts w:hint="eastAsia" w:eastAsia="宋体" w:asciiTheme="minorEastAsia" w:hAnsiTheme="minorEastAsia" w:cstheme="minorEastAsia"/>
                <w:color w:val="000000" w:themeColor="text1"/>
                <w:sz w:val="18"/>
                <w:szCs w:val="18"/>
                <w:lang w:val="en-US" w:eastAsia="zh-CN"/>
                <w14:textFill>
                  <w14:solidFill>
                    <w14:schemeClr w14:val="tx1"/>
                  </w14:solidFill>
                </w14:textFill>
              </w:rPr>
            </w:pPr>
            <w:r>
              <w:rPr>
                <w:rFonts w:hint="eastAsia" w:ascii="宋体" w:hAnsi="宋体" w:eastAsia="宋体" w:cs="宋体"/>
                <w:sz w:val="18"/>
                <w:szCs w:val="18"/>
                <w:lang w:val="en-US" w:eastAsia="zh-CN"/>
              </w:rPr>
              <w:t>包括：</w:t>
            </w:r>
            <w:r>
              <w:rPr>
                <w:rFonts w:hint="eastAsia" w:ascii="宋体" w:hAnsi="宋体" w:eastAsia="宋体" w:cs="宋体"/>
                <w:sz w:val="18"/>
                <w:szCs w:val="18"/>
              </w:rPr>
              <w:t>业财融合采购管理岗位业务实习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业财融合生产管理岗位业务实习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业财融合销售管理岗位业务实习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业财融合投融资管理岗位业务实习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业财融合投资管理岗位业务实习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业财融合分配管理岗位业务实习</w:t>
            </w:r>
            <w:r>
              <w:rPr>
                <w:rFonts w:hint="eastAsia" w:ascii="宋体" w:hAnsi="宋体" w:eastAsia="宋体" w:cs="宋体"/>
                <w:sz w:val="18"/>
                <w:szCs w:val="18"/>
                <w:lang w:eastAsia="zh-CN"/>
              </w:rPr>
              <w:t>、</w:t>
            </w:r>
            <w:r>
              <w:rPr>
                <w:rFonts w:hint="eastAsia" w:ascii="宋体" w:hAnsi="宋体" w:eastAsia="宋体" w:cs="宋体"/>
                <w:sz w:val="18"/>
                <w:szCs w:val="18"/>
              </w:rPr>
              <w:t>财务大数据岗位业务实习</w:t>
            </w:r>
            <w:r>
              <w:rPr>
                <w:rFonts w:hint="eastAsia" w:ascii="宋体" w:hAnsi="宋体" w:eastAsia="宋体" w:cs="宋体"/>
                <w:sz w:val="18"/>
                <w:szCs w:val="18"/>
                <w:lang w:eastAsia="zh-CN"/>
              </w:rPr>
              <w:t>、</w:t>
            </w:r>
            <w:r>
              <w:rPr>
                <w:rFonts w:hint="eastAsia" w:ascii="宋体" w:hAnsi="宋体" w:eastAsia="宋体" w:cs="宋体"/>
                <w:sz w:val="18"/>
                <w:szCs w:val="18"/>
              </w:rPr>
              <w:t>业财税综合分析岗位业务实习</w:t>
            </w:r>
            <w:r>
              <w:rPr>
                <w:rFonts w:hint="eastAsia" w:ascii="宋体" w:hAnsi="宋体" w:eastAsia="宋体" w:cs="宋体"/>
                <w:sz w:val="18"/>
                <w:szCs w:val="18"/>
                <w:lang w:val="en-US" w:eastAsia="zh-CN"/>
              </w:rPr>
              <w:t>等</w:t>
            </w:r>
          </w:p>
        </w:tc>
      </w:tr>
    </w:tbl>
    <w:p w14:paraId="09CFBC85">
      <w:pPr>
        <w:sectPr>
          <w:pgSz w:w="23811" w:h="16838" w:orient="landscape"/>
          <w:pgMar w:top="1701" w:right="1417" w:bottom="1701" w:left="1417" w:header="851" w:footer="992" w:gutter="0"/>
          <w:cols w:space="0" w:num="1"/>
          <w:docGrid w:type="lines" w:linePitch="312" w:charSpace="0"/>
        </w:sectPr>
      </w:pPr>
    </w:p>
    <w:tbl>
      <w:tblPr>
        <w:tblStyle w:val="14"/>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4"/>
        <w:gridCol w:w="777"/>
        <w:gridCol w:w="786"/>
        <w:gridCol w:w="450"/>
        <w:gridCol w:w="450"/>
        <w:gridCol w:w="450"/>
        <w:gridCol w:w="450"/>
        <w:gridCol w:w="450"/>
        <w:gridCol w:w="450"/>
        <w:gridCol w:w="450"/>
        <w:gridCol w:w="681"/>
        <w:gridCol w:w="462"/>
        <w:gridCol w:w="8577"/>
        <w:gridCol w:w="6067"/>
      </w:tblGrid>
      <w:tr w14:paraId="0129E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305" w:type="pct"/>
            <w:gridSpan w:val="2"/>
            <w:vAlign w:val="center"/>
          </w:tcPr>
          <w:p w14:paraId="62F74795">
            <w:pPr>
              <w:jc w:val="center"/>
              <w:rPr>
                <w:rFonts w:hint="eastAsia" w:asciiTheme="minorEastAsia" w:hAnsiTheme="minorEastAsia" w:eastAsiaTheme="minorEastAsia" w:cstheme="minorEastAsia"/>
                <w:sz w:val="18"/>
                <w:szCs w:val="18"/>
              </w:rPr>
            </w:pPr>
            <w:r>
              <w:rPr>
                <w:rFonts w:hint="eastAsia" w:ascii="宋体" w:hAnsi="宋体" w:cs="宋体"/>
                <w:b/>
                <w:bCs/>
                <w:color w:val="000000"/>
                <w:kern w:val="0"/>
                <w:sz w:val="18"/>
                <w:szCs w:val="18"/>
              </w:rPr>
              <w:t>类别</w:t>
            </w:r>
          </w:p>
        </w:tc>
        <w:tc>
          <w:tcPr>
            <w:tcW w:w="187" w:type="pct"/>
            <w:shd w:val="clear" w:color="auto" w:fill="auto"/>
            <w:vAlign w:val="center"/>
          </w:tcPr>
          <w:p w14:paraId="43821D29">
            <w:pPr>
              <w:jc w:val="center"/>
              <w:rPr>
                <w:rFonts w:hint="eastAsia" w:asciiTheme="minorEastAsia" w:hAnsiTheme="minorEastAsia" w:eastAsiaTheme="minorEastAsia"/>
                <w:sz w:val="18"/>
                <w:szCs w:val="18"/>
              </w:rPr>
            </w:pPr>
            <w:r>
              <w:rPr>
                <w:rFonts w:hint="eastAsia" w:asciiTheme="minorEastAsia" w:hAnsiTheme="minorEastAsia" w:eastAsiaTheme="minorEastAsia"/>
                <w:b/>
                <w:bCs/>
                <w:sz w:val="18"/>
                <w:szCs w:val="18"/>
              </w:rPr>
              <w:t>课程名称</w:t>
            </w:r>
          </w:p>
        </w:tc>
        <w:tc>
          <w:tcPr>
            <w:tcW w:w="107" w:type="pct"/>
            <w:vAlign w:val="center"/>
          </w:tcPr>
          <w:p w14:paraId="16612E36">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课程</w:t>
            </w:r>
          </w:p>
          <w:p w14:paraId="71A5754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类型</w:t>
            </w:r>
          </w:p>
        </w:tc>
        <w:tc>
          <w:tcPr>
            <w:tcW w:w="107" w:type="pct"/>
            <w:shd w:val="clear" w:color="auto" w:fill="auto"/>
            <w:vAlign w:val="center"/>
          </w:tcPr>
          <w:p w14:paraId="7391E8C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课程 类别</w:t>
            </w:r>
          </w:p>
        </w:tc>
        <w:tc>
          <w:tcPr>
            <w:tcW w:w="107" w:type="pct"/>
            <w:shd w:val="clear" w:color="auto" w:fill="auto"/>
            <w:vAlign w:val="center"/>
          </w:tcPr>
          <w:p w14:paraId="3F9C2A61">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学分</w:t>
            </w:r>
          </w:p>
        </w:tc>
        <w:tc>
          <w:tcPr>
            <w:tcW w:w="107" w:type="pct"/>
            <w:shd w:val="clear" w:color="auto" w:fill="auto"/>
            <w:vAlign w:val="center"/>
          </w:tcPr>
          <w:p w14:paraId="6512B07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总学时</w:t>
            </w:r>
          </w:p>
        </w:tc>
        <w:tc>
          <w:tcPr>
            <w:tcW w:w="107" w:type="pct"/>
            <w:shd w:val="clear" w:color="auto" w:fill="auto"/>
            <w:vAlign w:val="center"/>
          </w:tcPr>
          <w:p w14:paraId="6FF1995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理论</w:t>
            </w:r>
          </w:p>
          <w:p w14:paraId="1908AE4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学时</w:t>
            </w:r>
          </w:p>
        </w:tc>
        <w:tc>
          <w:tcPr>
            <w:tcW w:w="107" w:type="pct"/>
            <w:shd w:val="clear" w:color="auto" w:fill="auto"/>
            <w:vAlign w:val="center"/>
          </w:tcPr>
          <w:p w14:paraId="415CCF25">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实践</w:t>
            </w:r>
          </w:p>
          <w:p w14:paraId="7D12CCF4">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学时</w:t>
            </w:r>
          </w:p>
        </w:tc>
        <w:tc>
          <w:tcPr>
            <w:tcW w:w="107" w:type="pct"/>
            <w:shd w:val="clear" w:color="auto" w:fill="auto"/>
            <w:vAlign w:val="center"/>
          </w:tcPr>
          <w:p w14:paraId="75EB5781">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考核</w:t>
            </w:r>
          </w:p>
          <w:p w14:paraId="554DB3CF">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方式</w:t>
            </w:r>
          </w:p>
        </w:tc>
        <w:tc>
          <w:tcPr>
            <w:tcW w:w="162" w:type="pct"/>
            <w:shd w:val="clear" w:color="auto" w:fill="auto"/>
            <w:vAlign w:val="center"/>
          </w:tcPr>
          <w:p w14:paraId="7D581169">
            <w:pPr>
              <w:pStyle w:val="24"/>
              <w:spacing w:line="240" w:lineRule="auto"/>
              <w:ind w:left="0" w:firstLine="0" w:firstLineChars="0"/>
              <w:jc w:val="center"/>
              <w:rPr>
                <w:rFonts w:hint="eastAsia" w:asciiTheme="minorEastAsia" w:hAnsiTheme="minorEastAsia" w:eastAsiaTheme="minorEastAsia" w:cstheme="minorEastAsia"/>
                <w:b/>
                <w:bCs/>
                <w:sz w:val="18"/>
                <w:szCs w:val="18"/>
                <w:lang w:val="en-US"/>
              </w:rPr>
            </w:pPr>
            <w:r>
              <w:rPr>
                <w:rFonts w:hint="eastAsia" w:asciiTheme="minorEastAsia" w:hAnsiTheme="minorEastAsia" w:eastAsiaTheme="minorEastAsia" w:cstheme="minorEastAsia"/>
                <w:b/>
                <w:bCs/>
                <w:sz w:val="18"/>
                <w:szCs w:val="18"/>
                <w:lang w:val="en-US"/>
              </w:rPr>
              <w:t>开设</w:t>
            </w:r>
          </w:p>
          <w:p w14:paraId="20F8001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b/>
                <w:bCs/>
                <w:sz w:val="18"/>
                <w:szCs w:val="18"/>
                <w:lang w:val="en-US"/>
              </w:rPr>
              <w:t>学期</w:t>
            </w:r>
          </w:p>
        </w:tc>
        <w:tc>
          <w:tcPr>
            <w:tcW w:w="110" w:type="pct"/>
            <w:shd w:val="clear" w:color="auto" w:fill="auto"/>
            <w:vAlign w:val="center"/>
          </w:tcPr>
          <w:p w14:paraId="6529324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授课主题</w:t>
            </w:r>
          </w:p>
        </w:tc>
        <w:tc>
          <w:tcPr>
            <w:tcW w:w="2040" w:type="pct"/>
            <w:shd w:val="clear" w:color="auto" w:fill="auto"/>
            <w:vAlign w:val="center"/>
          </w:tcPr>
          <w:p w14:paraId="787B7EAC">
            <w:pPr>
              <w:pStyle w:val="24"/>
              <w:spacing w:line="240" w:lineRule="auto"/>
              <w:ind w:left="105" w:leftChars="50" w:right="105" w:rightChars="50" w:firstLine="0" w:firstLineChars="0"/>
              <w:jc w:val="center"/>
              <w:rPr>
                <w:rFonts w:hint="eastAsia" w:asciiTheme="minorEastAsia" w:hAnsiTheme="minorEastAsia" w:eastAsiaTheme="minorEastAsia" w:cstheme="minorEastAsia"/>
                <w:sz w:val="18"/>
                <w:szCs w:val="18"/>
              </w:rPr>
            </w:pPr>
            <w:r>
              <w:rPr>
                <w:rFonts w:hint="eastAsia" w:cs="Times New Roman"/>
                <w:b/>
                <w:bCs/>
                <w:sz w:val="18"/>
                <w:szCs w:val="18"/>
              </w:rPr>
              <w:t>课程目标</w:t>
            </w:r>
          </w:p>
        </w:tc>
        <w:tc>
          <w:tcPr>
            <w:tcW w:w="1443" w:type="pct"/>
            <w:vAlign w:val="center"/>
          </w:tcPr>
          <w:p w14:paraId="34B7905C">
            <w:pPr>
              <w:pStyle w:val="24"/>
              <w:spacing w:line="240" w:lineRule="auto"/>
              <w:ind w:left="105" w:leftChars="50" w:right="105" w:rightChars="50" w:firstLine="0" w:firstLineChars="0"/>
              <w:jc w:val="center"/>
              <w:rPr>
                <w:rFonts w:hint="eastAsia" w:asciiTheme="minorEastAsia" w:hAnsiTheme="minorEastAsia" w:eastAsiaTheme="minorEastAsia" w:cstheme="minorEastAsia"/>
                <w:sz w:val="18"/>
                <w:szCs w:val="18"/>
              </w:rPr>
            </w:pPr>
            <w:r>
              <w:rPr>
                <w:rFonts w:hint="eastAsia" w:cs="Times New Roman"/>
                <w:b/>
                <w:bCs/>
                <w:sz w:val="18"/>
                <w:szCs w:val="18"/>
              </w:rPr>
              <w:t>主要教学内容</w:t>
            </w:r>
          </w:p>
        </w:tc>
      </w:tr>
      <w:tr w14:paraId="651D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restart"/>
            <w:vAlign w:val="center"/>
          </w:tcPr>
          <w:p w14:paraId="754907A1">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bookmarkStart w:id="6" w:name="_Hlk201255999"/>
            <w:r>
              <w:rPr>
                <w:rFonts w:hint="eastAsia" w:asciiTheme="minorEastAsia" w:hAnsiTheme="minorEastAsia" w:eastAsiaTheme="minorEastAsia" w:cstheme="minorEastAsia"/>
                <w:sz w:val="18"/>
                <w:szCs w:val="18"/>
                <w:lang w:bidi="th-TH"/>
              </w:rPr>
              <w:t>专业拓展课程选修</w:t>
            </w:r>
            <w:r>
              <w:rPr>
                <w:rFonts w:hint="eastAsia" w:asciiTheme="minorEastAsia" w:hAnsiTheme="minorEastAsia" w:eastAsiaTheme="minorEastAsia" w:cstheme="minorEastAsia"/>
                <w:sz w:val="18"/>
                <w:szCs w:val="18"/>
                <w:lang w:val="en-US" w:bidi="th-TH"/>
              </w:rPr>
              <w:t>模块</w:t>
            </w:r>
          </w:p>
        </w:tc>
        <w:tc>
          <w:tcPr>
            <w:tcW w:w="185" w:type="pct"/>
            <w:vMerge w:val="restart"/>
            <w:shd w:val="clear" w:color="auto" w:fill="auto"/>
            <w:vAlign w:val="center"/>
          </w:tcPr>
          <w:p w14:paraId="0DB6A5C6">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专业提升模块（一）</w:t>
            </w:r>
          </w:p>
        </w:tc>
        <w:tc>
          <w:tcPr>
            <w:tcW w:w="187" w:type="pct"/>
            <w:shd w:val="clear" w:color="auto" w:fill="auto"/>
            <w:vAlign w:val="center"/>
          </w:tcPr>
          <w:p w14:paraId="33026131">
            <w:pPr>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财务管理实务</w:t>
            </w:r>
          </w:p>
        </w:tc>
        <w:tc>
          <w:tcPr>
            <w:tcW w:w="107" w:type="pct"/>
            <w:vAlign w:val="center"/>
          </w:tcPr>
          <w:p w14:paraId="7D575A7B">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1B371E0B">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2C883B21">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01511E22">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1FFDBA39">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48</w:t>
            </w:r>
          </w:p>
        </w:tc>
        <w:tc>
          <w:tcPr>
            <w:tcW w:w="107" w:type="pct"/>
            <w:shd w:val="clear" w:color="auto" w:fill="auto"/>
            <w:vAlign w:val="center"/>
          </w:tcPr>
          <w:p w14:paraId="63DDD534">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107" w:type="pct"/>
            <w:shd w:val="clear" w:color="auto" w:fill="auto"/>
            <w:vAlign w:val="center"/>
          </w:tcPr>
          <w:p w14:paraId="50490F95">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1DE7A7A4">
            <w:pPr>
              <w:pStyle w:val="24"/>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110" w:type="pct"/>
            <w:shd w:val="clear" w:color="auto" w:fill="auto"/>
            <w:vAlign w:val="center"/>
          </w:tcPr>
          <w:p w14:paraId="5B16F041">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68336CD3">
            <w:pPr>
              <w:pStyle w:val="24"/>
              <w:spacing w:line="240" w:lineRule="auto"/>
              <w:ind w:left="105" w:leftChars="50" w:right="105" w:rightChars="50" w:firstLine="0" w:firstLineChars="0"/>
              <w:rPr>
                <w:rFonts w:hint="default" w:asciiTheme="minorEastAsia" w:hAnsiTheme="minorEastAsia" w:eastAsiaTheme="minorEastAsia" w:cstheme="minorEastAsia"/>
                <w:sz w:val="18"/>
                <w:szCs w:val="18"/>
                <w:lang w:val="en-US" w:eastAsia="zh-CN"/>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使学生了解筹资活动、投资活动、资金营运活动、分配活动4类财务活动，掌握财务管理的目标、环节、环境及原则。了解财务管理的概念和内容，理解财务管理的目标和环境，以及利益相关者之间的冲突及协调，理解利率的构成因素。了解货币时间价值的概念，理解货币时间价值的计算原理和风险的衡量指标。了解预算的特征、分类及预算体系；了解固定与弹性预算、增量与零基预算、定期与滚动预算的区别；理解预算的编制程序及内容。了解筹资的分类、渠道和方式；掌握权益资金、债务资金的筹集形式及特点；掌握资金需要量预测的定量方法；掌握企业资本成本的计算方法及经营杠杆，财务杠杆和总杠杆三种效应形式；掌握企业资本结构的优化决策。了解项目投资的概念和分类；了解项目投资的特点及程序；掌握项目投资计算期的构成和项目投资的内容及各种项目投资评价指标的运用。理解营运资金的概念、特点和管理原则，现金的持有动机和持有成本；理解短期借款的种类、信用条件、优缺点；掌握最佳现金持有量确定的四种模式；掌握应收帐款、存货管理相关的成文及信用政策内容。了解收益分配的原则和程序；理解四种股利分配的政策，股利支付的方式及程序；了解股票分割和股票回购。了解财务分析的意义，内容和依据，理解财务分析的方法；掌握偿债能力分析、营运能力分析、盈利能力分析、发展能力分析指标体系，以及财务状况综合分析的方法。</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能够辨别四种财务管理目标的优缺点，并能够提出解决利益冲突的方法。掌握四种年金的终值和现值的计算，能够利用插值法解决货币时间价值中的利率问题，能够利用货币时间价值和风险价值相关计算方法对项目方案进行判断。掌握各项业务预算和财务预算的编制方法。.能够运用筹资理论正确确定资金需要量，根据各杠杆系数衡量企业经营风险和财务风险，并对企业的资金筹集进行简单的决策。能够运用各种项目投资决策评价指标进行项目投资方案的评价与决策。掌握证券投资给企业带来的风险和收益。能够根据企业实际现金管理要求，进行相关成本分析，确定最佳的现金持有量；能够制定合理的应收帐款信用政策和合理的存货控制方法。能够为企业制定合适的股利政策。能够利用指标体系对企业财务报表进行分析，并做出综合评价。</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）素质目标</w:t>
            </w:r>
            <w:r>
              <w:rPr>
                <w:rFonts w:hint="eastAsia" w:ascii="宋体" w:hAnsi="宋体" w:eastAsia="宋体" w:cs="宋体"/>
                <w:b/>
                <w:bCs/>
                <w:sz w:val="18"/>
                <w:szCs w:val="18"/>
                <w:lang w:eastAsia="zh-CN"/>
              </w:rPr>
              <w:t>：</w:t>
            </w:r>
            <w:r>
              <w:rPr>
                <w:rFonts w:hint="eastAsia" w:ascii="宋体" w:hAnsi="宋体" w:eastAsia="宋体" w:cs="宋体"/>
                <w:sz w:val="18"/>
                <w:szCs w:val="18"/>
                <w:lang w:val="en-US" w:eastAsia="zh-CN"/>
              </w:rPr>
              <w:t>了解企业法律环境，建立依法办事、廉洁自律的职业操守。了解企业及市场环境信息的重要性，建立起时间价值观、风险观，构建终身自主学习的学习的理念，促进学生可持续发展。树立团队精神意识，拥有团队合作和妥善处理人际关系素质。培养良好的心理素质和踏实肯干的工作作风。培养学生养成遵纪守法、爱岗敬业、勤俭节约、精打细算的良好职业道德。帮助学生获得正确的理财观念、法制观念,促使学生形成严谨的作风、较高的数据敏感度、较强的财务数据分析素养和财务洞察能力；促成学生具有语言表达、合作配合、综合协调能力，为做好今后企业财务管理工作打下基础。</w:t>
            </w:r>
          </w:p>
        </w:tc>
        <w:tc>
          <w:tcPr>
            <w:tcW w:w="1443" w:type="pct"/>
            <w:vAlign w:val="center"/>
          </w:tcPr>
          <w:p w14:paraId="1A154549">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sz w:val="18"/>
                <w:szCs w:val="18"/>
                <w:lang w:val="en-US" w:eastAsia="zh-CN"/>
              </w:rPr>
              <w:t>（1） 财务管理初识：企业与企业财务管理、 企业财务管理的目标、企业的财务管理环境、资金时间价值、风险和收益的衡量。（2）筹资管理：筹资管理概述、 负债筹资、 股权筹资、金融衍生工具筹资、资金需要量预测、资金成本与资金结构。（3）项目投资管理： 项目投资概述、现金流量的内容及其估算、 项目投资决策分析的基本方法、 几种常见的项目投资决策、对外投资决策。（4）证券投资管理：证券投资的概述、证券投资的风险与收益率、证券投资决策、 证券投资组合。（5）营运资金管理：营运资金管理概述、现金管理、应收账款管理、 存货物资管理、流动负债管理。（6）利润管理： 利润管理概述、目标利润管理、收入与成本管理、利润分配管理。（7）财务分析： 财务分析概述、 财务分析的方法、财务报表分析、财务指标分析、综合分析方法。</w:t>
            </w:r>
          </w:p>
        </w:tc>
      </w:tr>
      <w:tr w14:paraId="16CF0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331F5D46">
            <w:pPr>
              <w:pStyle w:val="24"/>
              <w:spacing w:line="240" w:lineRule="auto"/>
              <w:ind w:left="0" w:firstLine="0" w:firstLineChars="0"/>
              <w:jc w:val="center"/>
              <w:rPr>
                <w:rFonts w:hint="eastAsia" w:asciiTheme="minorEastAsia" w:hAnsiTheme="minorEastAsia" w:eastAsiaTheme="minorEastAsia" w:cstheme="minorEastAsia"/>
                <w:sz w:val="18"/>
                <w:szCs w:val="18"/>
                <w:lang w:bidi="th-TH"/>
              </w:rPr>
            </w:pPr>
          </w:p>
        </w:tc>
        <w:tc>
          <w:tcPr>
            <w:tcW w:w="185" w:type="pct"/>
            <w:vMerge w:val="continue"/>
            <w:shd w:val="clear" w:color="auto" w:fill="auto"/>
            <w:vAlign w:val="center"/>
          </w:tcPr>
          <w:p w14:paraId="554A0E36">
            <w:pPr>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151007E9">
            <w:pP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会计综合技能应用</w:t>
            </w:r>
          </w:p>
        </w:tc>
        <w:tc>
          <w:tcPr>
            <w:tcW w:w="107" w:type="pct"/>
            <w:vAlign w:val="center"/>
          </w:tcPr>
          <w:p w14:paraId="230C246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23DD4415">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7A89AA19">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0E4F846F">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1B9859D6">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2</w:t>
            </w:r>
          </w:p>
        </w:tc>
        <w:tc>
          <w:tcPr>
            <w:tcW w:w="107" w:type="pct"/>
            <w:shd w:val="clear" w:color="auto" w:fill="auto"/>
            <w:vAlign w:val="center"/>
          </w:tcPr>
          <w:p w14:paraId="3EBB337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62</w:t>
            </w:r>
          </w:p>
        </w:tc>
        <w:tc>
          <w:tcPr>
            <w:tcW w:w="107" w:type="pct"/>
            <w:shd w:val="clear" w:color="auto" w:fill="auto"/>
            <w:vAlign w:val="center"/>
          </w:tcPr>
          <w:p w14:paraId="2EB25C6F">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0B90E000">
            <w:pPr>
              <w:pStyle w:val="24"/>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3</w:t>
            </w:r>
          </w:p>
        </w:tc>
        <w:tc>
          <w:tcPr>
            <w:tcW w:w="110" w:type="pct"/>
            <w:shd w:val="clear" w:color="auto" w:fill="auto"/>
            <w:vAlign w:val="center"/>
          </w:tcPr>
          <w:p w14:paraId="4FEE1307">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75E8928D">
            <w:pPr>
              <w:spacing w:line="240" w:lineRule="exact"/>
              <w:rPr>
                <w:rFonts w:hint="default" w:ascii="宋体" w:hAnsi="宋体" w:eastAsia="宋体" w:cs="宋体"/>
                <w:sz w:val="18"/>
                <w:szCs w:val="18"/>
                <w:lang w:val="en-US" w:eastAsia="zh-CN"/>
              </w:rPr>
            </w:pP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知识目标：</w:t>
            </w:r>
            <w:r>
              <w:rPr>
                <w:rFonts w:hint="eastAsia" w:ascii="宋体" w:hAnsi="宋体" w:eastAsia="宋体" w:cs="宋体"/>
                <w:sz w:val="18"/>
                <w:szCs w:val="18"/>
              </w:rPr>
              <w:t>了解实训目的、要求、内容、组织；明确组织机构设置与主要岗位工作职责；熟悉主体企业的主要会计政策；熟悉会计的基本工作过程；掌握主要经济业务的会计处理方法；掌握建账、登账、对账、更正错账和结账的方法；掌握成本计算和财产清查的方法；掌握主要会计报表的编制方法；掌握财务分析及管理的方法。</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能力目标：</w:t>
            </w:r>
            <w:r>
              <w:rPr>
                <w:rFonts w:hint="eastAsia" w:ascii="宋体" w:hAnsi="宋体" w:eastAsia="宋体" w:cs="宋体"/>
                <w:sz w:val="18"/>
                <w:szCs w:val="18"/>
              </w:rPr>
              <w:t>填制主要原始凭证和审核原始凭证；填制和审核记账凭证；填制科目汇总表 ；建立日记账、明细账、总账；登记现金日记账、银行存款日记账；登记明细账；登记总分类账；对账、结账、更正错账；计算产品成本；清查货币资金、实物财产及往来款项，编制盘点报告单与账存实存对比表；编制资产负债表、利润表、现金流量表</w:t>
            </w:r>
            <w:r>
              <w:rPr>
                <w:rFonts w:hint="eastAsia" w:ascii="宋体" w:hAnsi="宋体" w:eastAsia="宋体" w:cs="宋体"/>
                <w:sz w:val="18"/>
                <w:szCs w:val="18"/>
                <w:lang w:eastAsia="zh-CN"/>
              </w:rPr>
              <w:t>。</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素质目标：</w:t>
            </w:r>
            <w:r>
              <w:rPr>
                <w:rFonts w:hint="eastAsia" w:ascii="宋体" w:hAnsi="宋体" w:eastAsia="宋体" w:cs="宋体"/>
                <w:sz w:val="18"/>
                <w:szCs w:val="18"/>
                <w:lang w:val="en-US" w:eastAsia="zh-CN"/>
              </w:rPr>
              <w:t>树立爱岗敬业、诚信做账、严谨务实的职业道德要求。</w:t>
            </w:r>
          </w:p>
          <w:p w14:paraId="1AC2D966">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c>
          <w:tcPr>
            <w:tcW w:w="1443" w:type="pct"/>
            <w:vAlign w:val="center"/>
          </w:tcPr>
          <w:p w14:paraId="1C9D2A1B">
            <w:pPr>
              <w:pStyle w:val="24"/>
              <w:numPr>
                <w:ilvl w:val="0"/>
                <w:numId w:val="0"/>
              </w:numPr>
              <w:spacing w:line="240" w:lineRule="auto"/>
              <w:ind w:left="105" w:leftChars="50" w:right="105" w:rightChars="50" w:firstLine="0" w:firstLineChars="0"/>
              <w:rPr>
                <w:rFonts w:hint="eastAsia" w:ascii="宋体" w:hAnsi="宋体" w:eastAsia="宋体" w:cs="宋体"/>
                <w:kern w:val="2"/>
                <w:sz w:val="18"/>
                <w:szCs w:val="18"/>
                <w:lang w:val="en-US" w:eastAsia="zh-CN" w:bidi="ar-SA"/>
              </w:rPr>
            </w:pPr>
            <w:r>
              <w:rPr>
                <w:rFonts w:hint="eastAsia" w:ascii="宋体" w:hAnsi="宋体" w:eastAsia="宋体" w:cs="宋体"/>
                <w:kern w:val="2"/>
                <w:sz w:val="18"/>
                <w:szCs w:val="18"/>
                <w:lang w:val="en-US" w:eastAsia="zh-CN" w:bidi="ar-SA"/>
              </w:rPr>
              <w:t>（1）熟悉实训平台操作，会计核算操作流程与模拟企业概况。</w:t>
            </w:r>
            <w:r>
              <w:rPr>
                <w:rFonts w:hint="eastAsia" w:ascii="宋体" w:hAnsi="宋体" w:eastAsia="宋体" w:cs="宋体"/>
                <w:kern w:val="2"/>
                <w:sz w:val="18"/>
                <w:szCs w:val="18"/>
                <w:lang w:val="zh-CN" w:eastAsia="zh-CN" w:bidi="ar-SA"/>
              </w:rPr>
              <w:t>（2）</w:t>
            </w:r>
            <w:r>
              <w:rPr>
                <w:rFonts w:hint="eastAsia" w:ascii="宋体" w:hAnsi="宋体" w:eastAsia="宋体" w:cs="宋体"/>
                <w:kern w:val="2"/>
                <w:sz w:val="18"/>
                <w:szCs w:val="18"/>
                <w:lang w:val="en-US" w:eastAsia="zh-CN" w:bidi="ar-SA"/>
              </w:rPr>
              <w:t>单人单岗实训演练：出纳岗位、成本会计岗位、总账会计岗位、会计主管岗位。（3）多人多岗实训考核。</w:t>
            </w:r>
          </w:p>
        </w:tc>
      </w:tr>
      <w:tr w14:paraId="50221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20061EF5">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continue"/>
            <w:shd w:val="clear" w:color="auto" w:fill="auto"/>
            <w:vAlign w:val="center"/>
          </w:tcPr>
          <w:p w14:paraId="25DE6D67">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6117DE6F">
            <w:pPr>
              <w:jc w:val="cente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财务机器人开发与应用</w:t>
            </w:r>
          </w:p>
        </w:tc>
        <w:tc>
          <w:tcPr>
            <w:tcW w:w="107" w:type="pct"/>
            <w:vAlign w:val="center"/>
          </w:tcPr>
          <w:p w14:paraId="6BBD363E">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54D6D445">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509A3CB3">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2</w:t>
            </w:r>
          </w:p>
        </w:tc>
        <w:tc>
          <w:tcPr>
            <w:tcW w:w="107" w:type="pct"/>
            <w:shd w:val="clear" w:color="auto" w:fill="auto"/>
            <w:vAlign w:val="center"/>
          </w:tcPr>
          <w:p w14:paraId="48176C81">
            <w:pPr>
              <w:pStyle w:val="24"/>
              <w:spacing w:line="240" w:lineRule="auto"/>
              <w:ind w:left="0" w:firstLine="0" w:firstLineChars="0"/>
              <w:jc w:val="center"/>
              <w:rPr>
                <w:rFonts w:hint="eastAsia" w:asciiTheme="minorEastAsia" w:hAnsiTheme="minorEastAsia" w:eastAsiaTheme="minorEastAsia"/>
                <w:w w:val="99"/>
                <w:sz w:val="18"/>
                <w:szCs w:val="18"/>
                <w:lang w:val="en-US" w:eastAsia="en-US"/>
              </w:rPr>
            </w:pPr>
            <w:r>
              <w:rPr>
                <w:rFonts w:hint="eastAsia" w:asciiTheme="minorEastAsia" w:hAnsiTheme="minorEastAsia" w:eastAsiaTheme="minorEastAsia" w:cstheme="minorEastAsia"/>
                <w:sz w:val="18"/>
                <w:szCs w:val="18"/>
                <w:lang w:val="en-US"/>
              </w:rPr>
              <w:t>32</w:t>
            </w:r>
          </w:p>
        </w:tc>
        <w:tc>
          <w:tcPr>
            <w:tcW w:w="107" w:type="pct"/>
            <w:shd w:val="clear" w:color="auto" w:fill="auto"/>
            <w:vAlign w:val="center"/>
          </w:tcPr>
          <w:p w14:paraId="45AA63A9">
            <w:pPr>
              <w:pStyle w:val="24"/>
              <w:spacing w:line="240" w:lineRule="auto"/>
              <w:ind w:left="0" w:firstLine="0" w:firstLineChars="0"/>
              <w:jc w:val="center"/>
              <w:rPr>
                <w:rFonts w:hint="eastAsia" w:asciiTheme="minorEastAsia" w:hAnsiTheme="minorEastAsia" w:eastAsiaTheme="minorEastAsia"/>
                <w:w w:val="99"/>
                <w:sz w:val="18"/>
                <w:szCs w:val="18"/>
                <w:lang w:eastAsia="en-US"/>
              </w:rPr>
            </w:pPr>
            <w:r>
              <w:rPr>
                <w:rFonts w:hint="eastAsia" w:asciiTheme="minorEastAsia" w:hAnsiTheme="minorEastAsia" w:eastAsiaTheme="minorEastAsia" w:cstheme="minorEastAsia"/>
                <w:sz w:val="18"/>
                <w:szCs w:val="18"/>
                <w:lang w:val="en-US"/>
              </w:rPr>
              <w:t>2</w:t>
            </w:r>
          </w:p>
        </w:tc>
        <w:tc>
          <w:tcPr>
            <w:tcW w:w="107" w:type="pct"/>
            <w:shd w:val="clear" w:color="auto" w:fill="auto"/>
            <w:vAlign w:val="center"/>
          </w:tcPr>
          <w:p w14:paraId="34BE1938">
            <w:pPr>
              <w:pStyle w:val="24"/>
              <w:spacing w:line="240" w:lineRule="auto"/>
              <w:ind w:left="0" w:firstLine="0" w:firstLineChars="0"/>
              <w:jc w:val="center"/>
              <w:rPr>
                <w:rFonts w:hint="eastAsia" w:asciiTheme="minorEastAsia" w:hAnsiTheme="minorEastAsia" w:eastAsiaTheme="minorEastAsia"/>
                <w:w w:val="99"/>
                <w:sz w:val="18"/>
                <w:szCs w:val="18"/>
                <w:lang w:val="en-US"/>
              </w:rPr>
            </w:pPr>
            <w:r>
              <w:rPr>
                <w:rFonts w:hint="eastAsia" w:asciiTheme="minorEastAsia" w:hAnsiTheme="minorEastAsia" w:eastAsiaTheme="minorEastAsia"/>
                <w:w w:val="99"/>
                <w:sz w:val="18"/>
                <w:szCs w:val="18"/>
                <w:lang w:val="en-US"/>
              </w:rPr>
              <w:t>30</w:t>
            </w:r>
          </w:p>
        </w:tc>
        <w:tc>
          <w:tcPr>
            <w:tcW w:w="107" w:type="pct"/>
            <w:shd w:val="clear" w:color="auto" w:fill="auto"/>
            <w:vAlign w:val="center"/>
          </w:tcPr>
          <w:p w14:paraId="7BDA567A">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02347E0F">
            <w:pPr>
              <w:pStyle w:val="24"/>
              <w:spacing w:line="240" w:lineRule="auto"/>
              <w:ind w:left="0" w:firstLine="0" w:firstLineChars="0"/>
              <w:jc w:val="center"/>
              <w:rPr>
                <w:rFonts w:hint="eastAsia" w:asciiTheme="minorEastAsia" w:hAnsiTheme="minorEastAsia" w:eastAsiaTheme="minorEastAsia"/>
                <w:w w:val="99"/>
                <w:sz w:val="18"/>
                <w:szCs w:val="18"/>
              </w:rPr>
            </w:pPr>
            <w:r>
              <w:rPr>
                <w:rFonts w:hint="eastAsia" w:asciiTheme="minorEastAsia" w:hAnsiTheme="minorEastAsia" w:eastAsiaTheme="minorEastAsia" w:cstheme="minorEastAsia"/>
                <w:sz w:val="18"/>
                <w:szCs w:val="18"/>
                <w:lang w:val="en-US"/>
              </w:rPr>
              <w:t>4</w:t>
            </w:r>
          </w:p>
        </w:tc>
        <w:tc>
          <w:tcPr>
            <w:tcW w:w="110" w:type="pct"/>
            <w:shd w:val="clear" w:color="auto" w:fill="auto"/>
            <w:vAlign w:val="center"/>
          </w:tcPr>
          <w:p w14:paraId="32D4C31E">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1A8C0A8F">
            <w:pPr>
              <w:spacing w:line="240" w:lineRule="exact"/>
              <w:rPr>
                <w:rFonts w:hint="eastAsia" w:ascii="宋体" w:hAnsi="宋体" w:eastAsia="宋体" w:cs="宋体"/>
                <w:sz w:val="18"/>
                <w:szCs w:val="18"/>
                <w:lang w:val="en-US" w:eastAsia="zh-Hans"/>
              </w:rPr>
            </w:pPr>
            <w:r>
              <w:rPr>
                <w:rFonts w:hint="eastAsia" w:ascii="宋体" w:hAnsi="宋体" w:cs="宋体"/>
                <w:sz w:val="18"/>
                <w:szCs w:val="18"/>
                <w:lang w:val="en-US" w:eastAsia="zh-CN"/>
              </w:rPr>
              <w:t>(</w:t>
            </w:r>
            <w:r>
              <w:rPr>
                <w:rFonts w:hint="eastAsia" w:ascii="宋体" w:hAnsi="宋体" w:cs="宋体"/>
                <w:b/>
                <w:bCs/>
                <w:sz w:val="18"/>
                <w:szCs w:val="18"/>
                <w:lang w:val="en-US" w:eastAsia="zh-CN"/>
              </w:rPr>
              <w:t>1)</w:t>
            </w:r>
            <w:r>
              <w:rPr>
                <w:rFonts w:hint="eastAsia" w:ascii="宋体" w:hAnsi="宋体" w:eastAsia="宋体" w:cs="宋体"/>
                <w:b/>
                <w:bCs/>
                <w:sz w:val="18"/>
                <w:szCs w:val="18"/>
                <w:lang w:val="en-US" w:eastAsia="zh-CN"/>
              </w:rPr>
              <w:t>知识目标</w:t>
            </w:r>
            <w:r>
              <w:rPr>
                <w:rFonts w:hint="eastAsia" w:ascii="宋体" w:hAnsi="宋体" w:cs="宋体"/>
                <w:b/>
                <w:bCs/>
                <w:sz w:val="18"/>
                <w:szCs w:val="18"/>
                <w:lang w:val="en-US" w:eastAsia="zh-CN"/>
              </w:rPr>
              <w:t>:</w:t>
            </w:r>
            <w:r>
              <w:rPr>
                <w:rFonts w:hint="eastAsia" w:ascii="宋体" w:hAnsi="宋体" w:eastAsia="宋体" w:cs="宋体"/>
                <w:sz w:val="18"/>
                <w:szCs w:val="18"/>
                <w:lang w:val="en-US" w:eastAsia="zh-CN"/>
              </w:rPr>
              <w:t>理解企业发展各周期的财管工作全貌</w:t>
            </w:r>
            <w:r>
              <w:rPr>
                <w:rFonts w:hint="eastAsia" w:ascii="宋体" w:hAnsi="宋体" w:eastAsia="宋体" w:cs="宋体"/>
                <w:sz w:val="18"/>
                <w:szCs w:val="18"/>
                <w:lang w:val="en-US" w:eastAsia="zh-Hans"/>
              </w:rPr>
              <w:t>；</w:t>
            </w:r>
            <w:r>
              <w:rPr>
                <w:rFonts w:hint="eastAsia" w:ascii="宋体" w:hAnsi="宋体" w:eastAsia="宋体" w:cs="宋体"/>
                <w:sz w:val="18"/>
                <w:szCs w:val="18"/>
                <w:lang w:val="en-US" w:eastAsia="zh-CN"/>
              </w:rPr>
              <w:t>学习制定财务管理目标、预算编制、财务决策及股利政策的基本方法</w:t>
            </w:r>
            <w:r>
              <w:rPr>
                <w:rFonts w:hint="eastAsia" w:ascii="宋体" w:hAnsi="宋体" w:eastAsia="宋体" w:cs="宋体"/>
                <w:sz w:val="18"/>
                <w:szCs w:val="18"/>
                <w:lang w:val="en-US" w:eastAsia="zh-Hans"/>
              </w:rPr>
              <w:t>。</w:t>
            </w:r>
            <w:r>
              <w:rPr>
                <w:rFonts w:hint="eastAsia" w:ascii="宋体" w:hAnsi="宋体" w:cs="宋体"/>
                <w:b/>
                <w:bCs/>
                <w:sz w:val="18"/>
                <w:szCs w:val="18"/>
                <w:lang w:val="en-US" w:eastAsia="zh-CN"/>
              </w:rPr>
              <w:t>(2)</w:t>
            </w:r>
            <w:r>
              <w:rPr>
                <w:rFonts w:hint="eastAsia" w:ascii="宋体" w:hAnsi="宋体" w:eastAsia="宋体" w:cs="宋体"/>
                <w:b/>
                <w:bCs/>
                <w:sz w:val="18"/>
                <w:szCs w:val="18"/>
                <w:lang w:val="en-US" w:eastAsia="zh-CN"/>
              </w:rPr>
              <w:t>能力目标</w:t>
            </w:r>
            <w:r>
              <w:rPr>
                <w:rFonts w:hint="eastAsia" w:ascii="宋体" w:hAnsi="宋体" w:cs="宋体"/>
                <w:sz w:val="18"/>
                <w:szCs w:val="18"/>
                <w:lang w:val="en-US" w:eastAsia="zh-CN"/>
              </w:rPr>
              <w:t>:</w:t>
            </w:r>
            <w:r>
              <w:rPr>
                <w:rFonts w:hint="eastAsia" w:ascii="宋体" w:hAnsi="宋体" w:eastAsia="宋体" w:cs="宋体"/>
                <w:sz w:val="18"/>
                <w:szCs w:val="18"/>
                <w:lang w:val="en-US" w:eastAsia="zh-CN"/>
              </w:rPr>
              <w:t>熟练运用财务决策分析方法进行投融资决策的基本技能训练</w:t>
            </w:r>
            <w:r>
              <w:rPr>
                <w:rFonts w:hint="eastAsia" w:ascii="宋体" w:hAnsi="宋体" w:eastAsia="宋体" w:cs="宋体"/>
                <w:sz w:val="18"/>
                <w:szCs w:val="18"/>
                <w:lang w:val="en-US" w:eastAsia="zh-Hans"/>
              </w:rPr>
              <w:t>；</w:t>
            </w:r>
            <w:r>
              <w:rPr>
                <w:rFonts w:hint="eastAsia" w:ascii="宋体" w:hAnsi="宋体" w:eastAsia="宋体" w:cs="宋体"/>
                <w:sz w:val="18"/>
                <w:szCs w:val="18"/>
                <w:lang w:val="en-US" w:eastAsia="zh-CN"/>
              </w:rPr>
              <w:t>能独立思考、分析中小企业资金运营需求，参与项目决策</w:t>
            </w:r>
            <w:r>
              <w:rPr>
                <w:rFonts w:hint="eastAsia" w:ascii="宋体" w:hAnsi="宋体" w:eastAsia="宋体" w:cs="宋体"/>
                <w:sz w:val="18"/>
                <w:szCs w:val="18"/>
                <w:lang w:val="en-US" w:eastAsia="zh-Hans"/>
              </w:rPr>
              <w:t>；</w:t>
            </w:r>
            <w:r>
              <w:rPr>
                <w:rFonts w:hint="eastAsia" w:ascii="宋体" w:hAnsi="宋体" w:eastAsia="宋体" w:cs="宋体"/>
                <w:sz w:val="18"/>
                <w:szCs w:val="18"/>
                <w:lang w:val="en-US" w:eastAsia="zh-CN"/>
              </w:rPr>
              <w:t>有一定企业财务管理、综合财务数据分析处理、可读或可视化展示能力</w:t>
            </w:r>
            <w:r>
              <w:rPr>
                <w:rFonts w:hint="eastAsia" w:ascii="宋体" w:hAnsi="宋体" w:eastAsia="宋体" w:cs="宋体"/>
                <w:sz w:val="18"/>
                <w:szCs w:val="18"/>
                <w:lang w:val="en-US" w:eastAsia="zh-Hans"/>
              </w:rPr>
              <w:t>。</w:t>
            </w:r>
          </w:p>
          <w:p w14:paraId="3A8E8A44">
            <w:pPr>
              <w:spacing w:line="240" w:lineRule="exact"/>
              <w:rPr>
                <w:rFonts w:hint="eastAsia" w:ascii="宋体" w:hAnsi="宋体" w:eastAsia="宋体" w:cs="宋体"/>
                <w:sz w:val="18"/>
                <w:szCs w:val="18"/>
                <w:lang w:val="en-US" w:eastAsia="zh-CN"/>
              </w:rPr>
            </w:pPr>
            <w:r>
              <w:rPr>
                <w:rFonts w:hint="eastAsia" w:ascii="宋体" w:hAnsi="宋体" w:cs="宋体"/>
                <w:sz w:val="18"/>
                <w:szCs w:val="18"/>
                <w:lang w:val="en-US" w:eastAsia="zh-CN"/>
              </w:rPr>
              <w:t>(</w:t>
            </w:r>
            <w:r>
              <w:rPr>
                <w:rFonts w:hint="eastAsia" w:ascii="宋体" w:hAnsi="宋体" w:cs="宋体"/>
                <w:b/>
                <w:bCs/>
                <w:sz w:val="18"/>
                <w:szCs w:val="18"/>
                <w:lang w:val="en-US" w:eastAsia="zh-CN"/>
              </w:rPr>
              <w:t>3)素质</w:t>
            </w:r>
            <w:r>
              <w:rPr>
                <w:rFonts w:hint="eastAsia" w:ascii="宋体" w:hAnsi="宋体" w:eastAsia="宋体" w:cs="宋体"/>
                <w:b/>
                <w:bCs/>
                <w:sz w:val="18"/>
                <w:szCs w:val="18"/>
                <w:lang w:val="en-US" w:eastAsia="zh-CN"/>
              </w:rPr>
              <w:t>目标</w:t>
            </w:r>
            <w:r>
              <w:rPr>
                <w:rFonts w:hint="eastAsia" w:ascii="宋体" w:hAnsi="宋体" w:cs="宋体"/>
                <w:b/>
                <w:bCs/>
                <w:sz w:val="18"/>
                <w:szCs w:val="18"/>
                <w:lang w:val="en-US" w:eastAsia="zh-CN"/>
              </w:rPr>
              <w:t>:</w:t>
            </w:r>
            <w:r>
              <w:rPr>
                <w:rFonts w:hint="eastAsia" w:ascii="宋体" w:hAnsi="宋体" w:eastAsia="宋体" w:cs="宋体"/>
                <w:sz w:val="18"/>
                <w:szCs w:val="18"/>
                <w:lang w:val="en-US" w:eastAsia="zh-CN"/>
              </w:rPr>
              <w:t>培养创新意识</w:t>
            </w:r>
            <w:r>
              <w:rPr>
                <w:rFonts w:hint="eastAsia" w:ascii="宋体" w:hAnsi="宋体" w:eastAsia="宋体" w:cs="宋体"/>
                <w:sz w:val="18"/>
                <w:szCs w:val="18"/>
                <w:lang w:val="en-US" w:eastAsia="zh-Hans"/>
              </w:rPr>
              <w:t>；</w:t>
            </w:r>
            <w:r>
              <w:rPr>
                <w:rFonts w:hint="eastAsia" w:ascii="宋体" w:hAnsi="宋体" w:eastAsia="宋体" w:cs="宋体"/>
                <w:sz w:val="18"/>
                <w:szCs w:val="18"/>
                <w:lang w:val="en-US" w:eastAsia="zh-CN"/>
              </w:rPr>
              <w:t>协同合作的团队精神，树立较强责任心，社会责任感</w:t>
            </w:r>
            <w:r>
              <w:rPr>
                <w:rFonts w:hint="eastAsia" w:ascii="宋体" w:hAnsi="宋体" w:eastAsia="宋体" w:cs="宋体"/>
                <w:sz w:val="18"/>
                <w:szCs w:val="18"/>
                <w:lang w:val="en-US" w:eastAsia="zh-Hans"/>
              </w:rPr>
              <w:t>；</w:t>
            </w:r>
            <w:r>
              <w:rPr>
                <w:rFonts w:hint="eastAsia" w:ascii="宋体" w:hAnsi="宋体" w:eastAsia="宋体" w:cs="宋体"/>
                <w:sz w:val="18"/>
                <w:szCs w:val="18"/>
                <w:lang w:val="en-US" w:eastAsia="zh-CN"/>
              </w:rPr>
              <w:t>稳扎的财务素养，为走向工作岗位奠定基础。</w:t>
            </w:r>
          </w:p>
          <w:p w14:paraId="5FFE1074">
            <w:pPr>
              <w:pStyle w:val="24"/>
              <w:spacing w:line="240" w:lineRule="auto"/>
              <w:ind w:left="105" w:leftChars="50" w:right="105" w:rightChars="50" w:firstLine="0" w:firstLineChars="0"/>
              <w:rPr>
                <w:rFonts w:hint="eastAsia" w:asciiTheme="minorEastAsia" w:hAnsiTheme="minorEastAsia" w:eastAsiaTheme="minorEastAsia"/>
                <w:sz w:val="18"/>
                <w:szCs w:val="18"/>
              </w:rPr>
            </w:pPr>
          </w:p>
        </w:tc>
        <w:tc>
          <w:tcPr>
            <w:tcW w:w="1443" w:type="pct"/>
            <w:vAlign w:val="center"/>
          </w:tcPr>
          <w:p w14:paraId="7A9C1016">
            <w:pPr>
              <w:pStyle w:val="24"/>
              <w:spacing w:line="240" w:lineRule="auto"/>
              <w:ind w:left="105" w:leftChars="50" w:right="105" w:rightChars="50" w:firstLine="0" w:firstLineChars="0"/>
              <w:rPr>
                <w:rFonts w:hint="default" w:asciiTheme="minorEastAsia" w:hAnsiTheme="minorEastAsia" w:eastAsiaTheme="minorEastAsia"/>
                <w:sz w:val="18"/>
                <w:szCs w:val="18"/>
                <w:lang w:val="en-US" w:eastAsia="zh-CN"/>
              </w:rPr>
            </w:pPr>
            <w:r>
              <w:rPr>
                <w:rFonts w:hint="eastAsia" w:asciiTheme="minorEastAsia" w:hAnsiTheme="minorEastAsia" w:eastAsiaTheme="minorEastAsia"/>
                <w:sz w:val="18"/>
                <w:szCs w:val="18"/>
                <w:lang w:eastAsia="zh-CN"/>
              </w:rPr>
              <w:t>（</w:t>
            </w:r>
            <w:r>
              <w:rPr>
                <w:rFonts w:hint="eastAsia" w:asciiTheme="minorEastAsia" w:hAnsiTheme="minorEastAsia" w:eastAsiaTheme="minorEastAsia"/>
                <w:sz w:val="18"/>
                <w:szCs w:val="18"/>
                <w:lang w:val="en-US" w:eastAsia="zh-CN"/>
              </w:rPr>
              <w:t>1</w:t>
            </w:r>
            <w:r>
              <w:rPr>
                <w:rFonts w:hint="eastAsia" w:asciiTheme="minorEastAsia" w:hAnsiTheme="minorEastAsia" w:eastAsiaTheme="minorEastAsia"/>
                <w:sz w:val="18"/>
                <w:szCs w:val="18"/>
                <w:lang w:eastAsia="zh-CN"/>
              </w:rPr>
              <w:t>）</w:t>
            </w:r>
            <w:r>
              <w:rPr>
                <w:rFonts w:hint="eastAsia" w:asciiTheme="minorEastAsia" w:hAnsiTheme="minorEastAsia" w:eastAsiaTheme="minorEastAsia"/>
                <w:sz w:val="18"/>
                <w:szCs w:val="18"/>
                <w:lang w:val="en-US" w:eastAsia="zh-CN"/>
              </w:rPr>
              <w:t>财务机器人概述；（2）基础财务业务机器人；（3）税务业务机器人；（4）费用业务循环机器人；（5）销售业务循环机器人；（6）采购业务循环机器人。</w:t>
            </w:r>
          </w:p>
        </w:tc>
      </w:tr>
      <w:tr w14:paraId="54B62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466A09E1">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restart"/>
            <w:shd w:val="clear" w:color="auto" w:fill="auto"/>
            <w:vAlign w:val="center"/>
          </w:tcPr>
          <w:p w14:paraId="6D09CDCF">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专业提升模块（二）</w:t>
            </w:r>
          </w:p>
        </w:tc>
        <w:tc>
          <w:tcPr>
            <w:tcW w:w="187" w:type="pct"/>
            <w:shd w:val="clear" w:color="auto" w:fill="auto"/>
            <w:vAlign w:val="center"/>
          </w:tcPr>
          <w:p w14:paraId="2C296C92">
            <w:pPr>
              <w:jc w:val="cente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纺织制造业业务流程管理</w:t>
            </w:r>
          </w:p>
        </w:tc>
        <w:tc>
          <w:tcPr>
            <w:tcW w:w="107" w:type="pct"/>
            <w:vAlign w:val="center"/>
          </w:tcPr>
          <w:p w14:paraId="4C36E5F2">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712044A3">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7DF6053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6234083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012D21F2">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10</w:t>
            </w:r>
          </w:p>
        </w:tc>
        <w:tc>
          <w:tcPr>
            <w:tcW w:w="107" w:type="pct"/>
            <w:shd w:val="clear" w:color="auto" w:fill="auto"/>
            <w:vAlign w:val="center"/>
          </w:tcPr>
          <w:p w14:paraId="3B7BF836">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54</w:t>
            </w:r>
          </w:p>
        </w:tc>
        <w:tc>
          <w:tcPr>
            <w:tcW w:w="107" w:type="pct"/>
            <w:shd w:val="clear" w:color="auto" w:fill="auto"/>
            <w:vAlign w:val="center"/>
          </w:tcPr>
          <w:p w14:paraId="1DEE0B6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50386747">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3</w:t>
            </w:r>
          </w:p>
        </w:tc>
        <w:tc>
          <w:tcPr>
            <w:tcW w:w="110" w:type="pct"/>
            <w:shd w:val="clear" w:color="auto" w:fill="auto"/>
            <w:vAlign w:val="center"/>
          </w:tcPr>
          <w:p w14:paraId="1EDEE81C">
            <w:pPr>
              <w:pStyle w:val="24"/>
              <w:spacing w:line="240" w:lineRule="auto"/>
              <w:ind w:left="0" w:firstLine="180" w:firstLineChars="100"/>
              <w:rPr>
                <w:rFonts w:hint="eastAsia" w:asciiTheme="minorEastAsia" w:hAnsiTheme="minorEastAsia" w:eastAsiaTheme="minorEastAsia"/>
                <w:kern w:val="0"/>
                <w:sz w:val="18"/>
                <w:szCs w:val="18"/>
              </w:rPr>
            </w:pPr>
            <w:r>
              <w:rPr>
                <w:rFonts w:hint="eastAsia" w:asciiTheme="minorEastAsia" w:hAnsiTheme="minorEastAsia" w:eastAsiaTheme="minorEastAsia"/>
                <w:kern w:val="0"/>
                <w:sz w:val="18"/>
                <w:szCs w:val="18"/>
              </w:rPr>
              <w:t>学校</w:t>
            </w:r>
          </w:p>
        </w:tc>
        <w:tc>
          <w:tcPr>
            <w:tcW w:w="2040" w:type="pct"/>
            <w:shd w:val="clear" w:color="auto" w:fill="auto"/>
            <w:vAlign w:val="center"/>
          </w:tcPr>
          <w:p w14:paraId="6BDB8D84">
            <w:pPr>
              <w:spacing w:line="240" w:lineRule="exact"/>
              <w:rPr>
                <w:rFonts w:hint="eastAsia" w:ascii="宋体" w:hAnsi="宋体" w:eastAsia="宋体" w:cs="宋体"/>
                <w:sz w:val="18"/>
                <w:szCs w:val="18"/>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理解</w:t>
            </w:r>
            <w:r>
              <w:rPr>
                <w:rFonts w:hint="eastAsia" w:ascii="宋体" w:hAnsi="宋体" w:eastAsia="宋体" w:cs="宋体"/>
                <w:sz w:val="18"/>
                <w:szCs w:val="18"/>
                <w:lang w:val="en-US" w:eastAsia="zh-CN"/>
              </w:rPr>
              <w:t>纺织</w:t>
            </w:r>
            <w:r>
              <w:rPr>
                <w:rFonts w:hint="eastAsia" w:ascii="宋体" w:hAnsi="宋体" w:eastAsia="宋体" w:cs="宋体"/>
                <w:sz w:val="18"/>
                <w:szCs w:val="18"/>
              </w:rPr>
              <w:t>制造企业业务流程的基本概念，掌握原材料采购与供应链管理、生产作业管理、物流与配送管理、销售与售后服务管理等制造企业核心业务流程，理解制造企业业务流程的信息化与智能化。</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w:t>
            </w:r>
            <w:r>
              <w:rPr>
                <w:rFonts w:hint="eastAsia" w:ascii="宋体" w:hAnsi="宋体" w:eastAsia="宋体" w:cs="宋体"/>
                <w:b/>
                <w:bCs/>
                <w:sz w:val="18"/>
                <w:szCs w:val="18"/>
                <w:lang w:val="en-US" w:eastAsia="zh-CN"/>
              </w:rPr>
              <w:t xml:space="preserve">目标 </w:t>
            </w:r>
            <w:r>
              <w:rPr>
                <w:rFonts w:hint="eastAsia" w:ascii="宋体" w:hAnsi="宋体" w:eastAsia="宋体" w:cs="宋体"/>
                <w:sz w:val="18"/>
                <w:szCs w:val="18"/>
              </w:rPr>
              <w:t>：运用相关工具和方法准确识别</w:t>
            </w:r>
            <w:r>
              <w:rPr>
                <w:rFonts w:hint="eastAsia" w:ascii="宋体" w:hAnsi="宋体" w:eastAsia="宋体" w:cs="宋体"/>
                <w:sz w:val="18"/>
                <w:szCs w:val="18"/>
                <w:lang w:val="en-US" w:eastAsia="zh-CN"/>
              </w:rPr>
              <w:t>纺织</w:t>
            </w:r>
            <w:r>
              <w:rPr>
                <w:rFonts w:hint="eastAsia" w:ascii="宋体" w:hAnsi="宋体" w:eastAsia="宋体" w:cs="宋体"/>
                <w:sz w:val="18"/>
                <w:szCs w:val="18"/>
              </w:rPr>
              <w:t>制造企业业务流程中存在的问题，解决制造企业业务流程问题根源的追溯、提出切实可行的流程优化方案，运用人工智能、物联网等前沿技术解决企业业务流程创新和转型升级的问题。</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养成良好的职业习惯、职业道德和职业素养；形成良好的团队合作意识与交流沟通能力；具备爱岗敬业、勤学苦练的职业精神；诚实守信、遵守准则、严谨细致、认真负责的工作作风。</w:t>
            </w:r>
          </w:p>
          <w:p w14:paraId="77B2874E">
            <w:pPr>
              <w:pStyle w:val="24"/>
              <w:spacing w:line="240" w:lineRule="auto"/>
              <w:ind w:left="105" w:leftChars="50" w:right="105" w:rightChars="50" w:firstLine="0" w:firstLineChars="0"/>
              <w:rPr>
                <w:rFonts w:hint="eastAsia" w:asciiTheme="minorEastAsia" w:hAnsiTheme="minorEastAsia" w:eastAsiaTheme="minorEastAsia"/>
                <w:kern w:val="0"/>
                <w:sz w:val="18"/>
                <w:szCs w:val="18"/>
                <w:lang w:val="en-US"/>
              </w:rPr>
            </w:pPr>
          </w:p>
        </w:tc>
        <w:tc>
          <w:tcPr>
            <w:tcW w:w="1443" w:type="pct"/>
            <w:vAlign w:val="center"/>
          </w:tcPr>
          <w:p w14:paraId="64A253FB">
            <w:pPr>
              <w:spacing w:line="240" w:lineRule="exact"/>
              <w:rPr>
                <w:rFonts w:hint="eastAsia" w:eastAsia="宋体" w:asciiTheme="minorEastAsia" w:hAnsiTheme="minorEastAsia"/>
                <w:kern w:val="0"/>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val="en-US" w:eastAsia="zh-CN"/>
              </w:rPr>
              <w:t>纺织</w:t>
            </w:r>
            <w:r>
              <w:rPr>
                <w:rFonts w:hint="eastAsia" w:ascii="宋体" w:hAnsi="宋体" w:eastAsia="宋体" w:cs="宋体"/>
                <w:sz w:val="18"/>
                <w:szCs w:val="18"/>
              </w:rPr>
              <w:t>制造</w:t>
            </w:r>
            <w:r>
              <w:rPr>
                <w:rFonts w:hint="eastAsia" w:ascii="宋体" w:hAnsi="宋体" w:eastAsia="宋体" w:cs="宋体"/>
                <w:sz w:val="18"/>
                <w:szCs w:val="18"/>
                <w:lang w:val="en-US" w:eastAsia="zh-CN"/>
              </w:rPr>
              <w:t>业</w:t>
            </w:r>
            <w:r>
              <w:rPr>
                <w:rFonts w:hint="eastAsia" w:ascii="宋体" w:hAnsi="宋体" w:eastAsia="宋体" w:cs="宋体"/>
                <w:sz w:val="18"/>
                <w:szCs w:val="18"/>
              </w:rPr>
              <w:t>企业概述</w:t>
            </w:r>
            <w:r>
              <w:rPr>
                <w:rFonts w:hint="eastAsia" w:ascii="宋体" w:hAnsi="宋体" w:eastAsia="宋体" w:cs="宋体"/>
                <w:sz w:val="18"/>
                <w:szCs w:val="18"/>
                <w:lang w:eastAsia="zh-CN"/>
              </w:rPr>
              <w:t>。</w:t>
            </w:r>
            <w:r>
              <w:rPr>
                <w:rFonts w:hint="eastAsia" w:ascii="宋体" w:hAnsi="宋体" w:eastAsia="宋体" w:cs="宋体"/>
                <w:sz w:val="18"/>
                <w:szCs w:val="18"/>
              </w:rPr>
              <w:t>（2）需求分析与产品定位</w:t>
            </w:r>
            <w:r>
              <w:rPr>
                <w:rFonts w:hint="eastAsia" w:ascii="宋体" w:hAnsi="宋体" w:eastAsia="宋体" w:cs="宋体"/>
                <w:sz w:val="18"/>
                <w:szCs w:val="18"/>
                <w:lang w:eastAsia="zh-CN"/>
              </w:rPr>
              <w:t>。</w:t>
            </w:r>
            <w:r>
              <w:rPr>
                <w:rFonts w:hint="eastAsia" w:ascii="宋体" w:hAnsi="宋体" w:eastAsia="宋体" w:cs="宋体"/>
                <w:sz w:val="18"/>
                <w:szCs w:val="18"/>
              </w:rPr>
              <w:t>（3）采购与供应链管理：采购计划制定、供应商管理、采购执行与质量控制</w:t>
            </w:r>
            <w:r>
              <w:rPr>
                <w:rFonts w:hint="eastAsia" w:ascii="宋体" w:hAnsi="宋体" w:eastAsia="宋体" w:cs="宋体"/>
                <w:sz w:val="18"/>
                <w:szCs w:val="18"/>
                <w:lang w:eastAsia="zh-CN"/>
              </w:rPr>
              <w:t>。</w:t>
            </w:r>
            <w:r>
              <w:rPr>
                <w:rFonts w:hint="eastAsia" w:ascii="宋体" w:hAnsi="宋体" w:eastAsia="宋体" w:cs="宋体"/>
                <w:sz w:val="18"/>
                <w:szCs w:val="18"/>
              </w:rPr>
              <w:t>（4）生产作业管理：生产计划制定、生产排程安排、生产执行与质量控制</w:t>
            </w:r>
            <w:r>
              <w:rPr>
                <w:rFonts w:hint="eastAsia" w:ascii="宋体" w:hAnsi="宋体" w:eastAsia="宋体" w:cs="宋体"/>
                <w:sz w:val="18"/>
                <w:szCs w:val="18"/>
                <w:lang w:eastAsia="zh-CN"/>
              </w:rPr>
              <w:t>。</w:t>
            </w:r>
            <w:r>
              <w:rPr>
                <w:rFonts w:hint="eastAsia" w:ascii="宋体" w:hAnsi="宋体" w:eastAsia="宋体" w:cs="宋体"/>
                <w:sz w:val="18"/>
                <w:szCs w:val="18"/>
              </w:rPr>
              <w:t>（5）物流与配送：配送计划制定、运输安排、仓储管理</w:t>
            </w:r>
            <w:r>
              <w:rPr>
                <w:rFonts w:hint="eastAsia" w:ascii="宋体" w:hAnsi="宋体" w:eastAsia="宋体" w:cs="宋体"/>
                <w:sz w:val="18"/>
                <w:szCs w:val="18"/>
                <w:lang w:eastAsia="zh-CN"/>
              </w:rPr>
              <w:t>。</w:t>
            </w:r>
            <w:r>
              <w:rPr>
                <w:rFonts w:hint="eastAsia" w:ascii="宋体" w:hAnsi="宋体" w:eastAsia="宋体" w:cs="宋体"/>
                <w:sz w:val="18"/>
                <w:szCs w:val="18"/>
              </w:rPr>
              <w:t>（6）销售与售后服务：销售计划制定、产品宣传推广、销售订单处理、售后服务支持</w:t>
            </w:r>
            <w:r>
              <w:rPr>
                <w:rFonts w:hint="eastAsia" w:ascii="宋体" w:hAnsi="宋体" w:eastAsia="宋体" w:cs="宋体"/>
                <w:sz w:val="18"/>
                <w:szCs w:val="18"/>
                <w:lang w:eastAsia="zh-CN"/>
              </w:rPr>
              <w:t>。</w:t>
            </w:r>
            <w:r>
              <w:rPr>
                <w:rFonts w:hint="eastAsia" w:ascii="宋体" w:hAnsi="宋体" w:eastAsia="宋体" w:cs="宋体"/>
                <w:sz w:val="18"/>
                <w:szCs w:val="18"/>
              </w:rPr>
              <w:t>（7）制造企业信息化管理：ERP系统、MES系统、工业互联网与物联网技术、人工智能在制造业的应用</w:t>
            </w:r>
            <w:r>
              <w:rPr>
                <w:rFonts w:hint="eastAsia" w:ascii="宋体" w:hAnsi="宋体" w:eastAsia="宋体" w:cs="宋体"/>
                <w:sz w:val="18"/>
                <w:szCs w:val="18"/>
                <w:lang w:eastAsia="zh-CN"/>
              </w:rPr>
              <w:t>。</w:t>
            </w:r>
            <w:r>
              <w:rPr>
                <w:rFonts w:hint="eastAsia" w:ascii="宋体" w:hAnsi="宋体" w:eastAsia="宋体" w:cs="宋体"/>
                <w:sz w:val="18"/>
                <w:szCs w:val="18"/>
              </w:rPr>
              <w:t>（8）业财融合下制造企业业务流程优化典型案例分析</w:t>
            </w:r>
            <w:r>
              <w:rPr>
                <w:rFonts w:hint="eastAsia" w:ascii="宋体" w:hAnsi="宋体" w:eastAsia="宋体" w:cs="宋体"/>
                <w:sz w:val="18"/>
                <w:szCs w:val="18"/>
                <w:lang w:eastAsia="zh-CN"/>
              </w:rPr>
              <w:t>。</w:t>
            </w:r>
          </w:p>
        </w:tc>
      </w:tr>
      <w:tr w14:paraId="6B6F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6AC3855F">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continue"/>
            <w:shd w:val="clear" w:color="auto" w:fill="auto"/>
            <w:vAlign w:val="center"/>
          </w:tcPr>
          <w:p w14:paraId="69E076A2">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63341EFC">
            <w:pPr>
              <w:jc w:val="cente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住宿餐饮业业务流程管理</w:t>
            </w:r>
          </w:p>
        </w:tc>
        <w:tc>
          <w:tcPr>
            <w:tcW w:w="107" w:type="pct"/>
            <w:vAlign w:val="center"/>
          </w:tcPr>
          <w:p w14:paraId="6195863B">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404B79B9">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2A898473">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107" w:type="pct"/>
            <w:shd w:val="clear" w:color="auto" w:fill="auto"/>
            <w:vAlign w:val="center"/>
          </w:tcPr>
          <w:p w14:paraId="78AB0C3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107" w:type="pct"/>
            <w:shd w:val="clear" w:color="auto" w:fill="auto"/>
            <w:vAlign w:val="center"/>
          </w:tcPr>
          <w:p w14:paraId="55015F8B">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24</w:t>
            </w:r>
          </w:p>
        </w:tc>
        <w:tc>
          <w:tcPr>
            <w:tcW w:w="107" w:type="pct"/>
            <w:shd w:val="clear" w:color="auto" w:fill="auto"/>
            <w:vAlign w:val="center"/>
          </w:tcPr>
          <w:p w14:paraId="30BB3A2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24</w:t>
            </w:r>
          </w:p>
        </w:tc>
        <w:tc>
          <w:tcPr>
            <w:tcW w:w="107" w:type="pct"/>
            <w:shd w:val="clear" w:color="auto" w:fill="auto"/>
            <w:vAlign w:val="center"/>
          </w:tcPr>
          <w:p w14:paraId="19B3B2A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1DD9967F">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4</w:t>
            </w:r>
          </w:p>
        </w:tc>
        <w:tc>
          <w:tcPr>
            <w:tcW w:w="110" w:type="pct"/>
            <w:shd w:val="clear" w:color="auto" w:fill="auto"/>
            <w:vAlign w:val="center"/>
          </w:tcPr>
          <w:p w14:paraId="3F6F5A35">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2DE47574">
            <w:pPr>
              <w:pStyle w:val="24"/>
              <w:spacing w:line="240" w:lineRule="auto"/>
              <w:ind w:left="105" w:leftChars="50" w:right="105" w:rightChars="50" w:firstLine="0" w:firstLineChars="0"/>
              <w:rPr>
                <w:rFonts w:hint="eastAsia" w:asciiTheme="minorEastAsia" w:hAnsiTheme="minorEastAsia" w:eastAsiaTheme="minorEastAsia"/>
                <w:kern w:val="0"/>
                <w:sz w:val="18"/>
                <w:szCs w:val="18"/>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掌握</w:t>
            </w:r>
            <w:r>
              <w:rPr>
                <w:rFonts w:hint="eastAsia" w:ascii="宋体" w:hAnsi="宋体" w:eastAsia="宋体" w:cs="宋体"/>
                <w:sz w:val="18"/>
                <w:szCs w:val="18"/>
                <w:lang w:val="en-US" w:eastAsia="zh-CN"/>
              </w:rPr>
              <w:t>住宿餐饮业</w:t>
            </w:r>
            <w:r>
              <w:rPr>
                <w:rFonts w:hint="eastAsia" w:ascii="宋体" w:hAnsi="宋体" w:eastAsia="宋体" w:cs="宋体"/>
                <w:sz w:val="18"/>
                <w:szCs w:val="18"/>
              </w:rPr>
              <w:t>企业基本概念与运营环境，利用对消费者行为和心理的分析进行市场调研和分析，掌握供应商评估、关系维护、绩效考核等管理流程，掌握销售策略的制定和执行方法，熟悉仓储管理、物流运输、配送、跟踪，了解客户服务与售后管理，理解财务管理的基本原理和方法，掌握基本的税务筹划方法。</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运用对商贸企业的实际需求和市场环境的分析结果，解决商贸企业业务流程的设计，确保业务流程的高效性和有效性；运用对现有业务流程中存在的问题和不足的分析结果，提出优化方案。</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养成良好的职业习惯、职业道德和职业素养；形成良好的团队合作意识与交流沟通能力；具备爱岗敬业、勤学苦练的职业精神；诚实守信、遵守准则、严谨细致、认真负责的工作作风。</w:t>
            </w:r>
          </w:p>
        </w:tc>
        <w:tc>
          <w:tcPr>
            <w:tcW w:w="1443" w:type="pct"/>
            <w:vAlign w:val="center"/>
          </w:tcPr>
          <w:p w14:paraId="315F9F95">
            <w:pPr>
              <w:spacing w:line="240" w:lineRule="exact"/>
              <w:rPr>
                <w:rFonts w:hint="eastAsia" w:asciiTheme="minorEastAsia" w:hAnsiTheme="minorEastAsia" w:eastAsiaTheme="minorEastAsia"/>
                <w:kern w:val="0"/>
                <w:sz w:val="18"/>
                <w:szCs w:val="18"/>
              </w:rPr>
            </w:pPr>
            <w:r>
              <w:rPr>
                <w:rFonts w:hint="eastAsia" w:ascii="宋体" w:hAnsi="宋体" w:eastAsia="宋体" w:cs="宋体"/>
                <w:sz w:val="18"/>
                <w:szCs w:val="18"/>
              </w:rPr>
              <w:t>（1）</w:t>
            </w:r>
            <w:r>
              <w:rPr>
                <w:rFonts w:hint="eastAsia" w:ascii="宋体" w:hAnsi="宋体" w:eastAsia="宋体" w:cs="宋体"/>
                <w:sz w:val="18"/>
                <w:szCs w:val="18"/>
                <w:lang w:val="en-US" w:eastAsia="zh-CN"/>
              </w:rPr>
              <w:t>住宿餐饮业</w:t>
            </w:r>
            <w:r>
              <w:rPr>
                <w:rFonts w:hint="eastAsia" w:ascii="宋体" w:hAnsi="宋体" w:eastAsia="宋体" w:cs="宋体"/>
                <w:sz w:val="18"/>
                <w:szCs w:val="18"/>
              </w:rPr>
              <w:t>企业概述</w:t>
            </w:r>
            <w:r>
              <w:rPr>
                <w:rFonts w:hint="eastAsia" w:ascii="宋体" w:hAnsi="宋体" w:eastAsia="宋体" w:cs="宋体"/>
                <w:sz w:val="18"/>
                <w:szCs w:val="18"/>
                <w:lang w:eastAsia="zh-CN"/>
              </w:rPr>
              <w:t>。</w:t>
            </w:r>
            <w:r>
              <w:rPr>
                <w:rFonts w:hint="eastAsia" w:ascii="宋体" w:hAnsi="宋体" w:eastAsia="宋体" w:cs="宋体"/>
                <w:sz w:val="18"/>
                <w:szCs w:val="18"/>
              </w:rPr>
              <w:t>（2）市场调研与分析：市场调研方法、市场需求分析、竞争对手分析</w:t>
            </w:r>
            <w:r>
              <w:rPr>
                <w:rFonts w:hint="eastAsia" w:ascii="宋体" w:hAnsi="宋体" w:eastAsia="宋体" w:cs="宋体"/>
                <w:sz w:val="18"/>
                <w:szCs w:val="18"/>
                <w:lang w:eastAsia="zh-CN"/>
              </w:rPr>
              <w:t>。</w:t>
            </w:r>
            <w:r>
              <w:rPr>
                <w:rFonts w:hint="eastAsia" w:ascii="宋体" w:hAnsi="宋体" w:eastAsia="宋体" w:cs="宋体"/>
                <w:sz w:val="18"/>
                <w:szCs w:val="18"/>
              </w:rPr>
              <w:t>（3）商品采购管理：采购计划指定、供应商管理、采购执行、绩效考核</w:t>
            </w:r>
            <w:r>
              <w:rPr>
                <w:rFonts w:hint="eastAsia" w:ascii="宋体" w:hAnsi="宋体" w:eastAsia="宋体" w:cs="宋体"/>
                <w:sz w:val="18"/>
                <w:szCs w:val="18"/>
                <w:lang w:eastAsia="zh-CN"/>
              </w:rPr>
              <w:t>。</w:t>
            </w:r>
            <w:r>
              <w:rPr>
                <w:rFonts w:hint="eastAsia" w:ascii="宋体" w:hAnsi="宋体" w:eastAsia="宋体" w:cs="宋体"/>
                <w:sz w:val="18"/>
                <w:szCs w:val="18"/>
              </w:rPr>
              <w:t>（4）销售与市场推广：销售策略制定、市场推广活动、销售渠道管理</w:t>
            </w:r>
            <w:r>
              <w:rPr>
                <w:rFonts w:hint="eastAsia" w:ascii="宋体" w:hAnsi="宋体" w:eastAsia="宋体" w:cs="宋体"/>
                <w:sz w:val="18"/>
                <w:szCs w:val="18"/>
                <w:lang w:eastAsia="zh-CN"/>
              </w:rPr>
              <w:t>。</w:t>
            </w:r>
            <w:r>
              <w:rPr>
                <w:rFonts w:hint="eastAsia" w:ascii="宋体" w:hAnsi="宋体" w:eastAsia="宋体" w:cs="宋体"/>
                <w:sz w:val="18"/>
                <w:szCs w:val="18"/>
              </w:rPr>
              <w:t>（5）仓储与物流管理</w:t>
            </w:r>
            <w:r>
              <w:rPr>
                <w:rFonts w:hint="eastAsia" w:ascii="宋体" w:hAnsi="宋体" w:eastAsia="宋体" w:cs="宋体"/>
                <w:sz w:val="18"/>
                <w:szCs w:val="18"/>
                <w:lang w:eastAsia="zh-CN"/>
              </w:rPr>
              <w:t>。</w:t>
            </w:r>
            <w:r>
              <w:rPr>
                <w:rFonts w:hint="eastAsia" w:ascii="宋体" w:hAnsi="宋体" w:eastAsia="宋体" w:cs="宋体"/>
                <w:sz w:val="18"/>
                <w:szCs w:val="18"/>
              </w:rPr>
              <w:t>（6）客户服务与售后管理</w:t>
            </w:r>
            <w:r>
              <w:rPr>
                <w:rFonts w:hint="eastAsia" w:ascii="宋体" w:hAnsi="宋体" w:cs="宋体"/>
                <w:sz w:val="18"/>
                <w:szCs w:val="18"/>
                <w:lang w:eastAsia="zh-CN"/>
              </w:rPr>
              <w:t>。</w:t>
            </w:r>
            <w:r>
              <w:rPr>
                <w:rFonts w:hint="eastAsia" w:ascii="宋体" w:hAnsi="宋体" w:eastAsia="宋体" w:cs="宋体"/>
                <w:sz w:val="18"/>
                <w:szCs w:val="18"/>
              </w:rPr>
              <w:t>（7）财务管理与税收筹划</w:t>
            </w:r>
            <w:r>
              <w:rPr>
                <w:rFonts w:hint="eastAsia" w:ascii="宋体" w:hAnsi="宋体" w:eastAsia="宋体" w:cs="宋体"/>
                <w:sz w:val="18"/>
                <w:szCs w:val="18"/>
                <w:lang w:eastAsia="zh-CN"/>
              </w:rPr>
              <w:t>。</w:t>
            </w:r>
            <w:r>
              <w:rPr>
                <w:rFonts w:hint="eastAsia" w:ascii="宋体" w:hAnsi="宋体" w:eastAsia="宋体" w:cs="宋体"/>
                <w:sz w:val="18"/>
                <w:szCs w:val="18"/>
              </w:rPr>
              <w:t>（8）业财融合下商贸企业业务流程优化典型案例分析</w:t>
            </w:r>
            <w:r>
              <w:rPr>
                <w:rFonts w:hint="eastAsia" w:ascii="宋体" w:hAnsi="宋体" w:eastAsia="宋体" w:cs="宋体"/>
                <w:sz w:val="18"/>
                <w:szCs w:val="18"/>
                <w:lang w:eastAsia="zh-CN"/>
              </w:rPr>
              <w:t>。</w:t>
            </w:r>
          </w:p>
        </w:tc>
      </w:tr>
      <w:tr w14:paraId="339D6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27BE7863">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continue"/>
            <w:shd w:val="clear" w:color="auto" w:fill="auto"/>
            <w:vAlign w:val="center"/>
          </w:tcPr>
          <w:p w14:paraId="511D47CE">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6B587B81">
            <w:pPr>
              <w:jc w:val="center"/>
              <w:rPr>
                <w:rFonts w:hint="eastAsia" w:cs="宋体" w:asciiTheme="minorEastAsia" w:hAnsiTheme="minorEastAsia" w:eastAsiaTheme="minorEastAsia"/>
                <w:sz w:val="18"/>
                <w:szCs w:val="18"/>
              </w:rPr>
            </w:pPr>
            <w:r>
              <w:rPr>
                <w:rFonts w:hint="eastAsia" w:asciiTheme="minorEastAsia" w:hAnsiTheme="minorEastAsia" w:eastAsiaTheme="minorEastAsia"/>
                <w:sz w:val="18"/>
                <w:szCs w:val="18"/>
              </w:rPr>
              <w:t>跨境电商业务流程管理</w:t>
            </w:r>
          </w:p>
        </w:tc>
        <w:tc>
          <w:tcPr>
            <w:tcW w:w="107" w:type="pct"/>
            <w:vAlign w:val="center"/>
          </w:tcPr>
          <w:p w14:paraId="3C87039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22A292B3">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51E2AFBF">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w:t>
            </w:r>
          </w:p>
        </w:tc>
        <w:tc>
          <w:tcPr>
            <w:tcW w:w="107" w:type="pct"/>
            <w:shd w:val="clear" w:color="auto" w:fill="auto"/>
            <w:vAlign w:val="center"/>
          </w:tcPr>
          <w:p w14:paraId="007D209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48</w:t>
            </w:r>
          </w:p>
        </w:tc>
        <w:tc>
          <w:tcPr>
            <w:tcW w:w="107" w:type="pct"/>
            <w:shd w:val="clear" w:color="auto" w:fill="auto"/>
            <w:vAlign w:val="center"/>
          </w:tcPr>
          <w:p w14:paraId="5B58BB90">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24</w:t>
            </w:r>
          </w:p>
        </w:tc>
        <w:tc>
          <w:tcPr>
            <w:tcW w:w="107" w:type="pct"/>
            <w:shd w:val="clear" w:color="auto" w:fill="auto"/>
            <w:vAlign w:val="center"/>
          </w:tcPr>
          <w:p w14:paraId="76207AA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24</w:t>
            </w:r>
          </w:p>
        </w:tc>
        <w:tc>
          <w:tcPr>
            <w:tcW w:w="107" w:type="pct"/>
            <w:shd w:val="clear" w:color="auto" w:fill="auto"/>
            <w:vAlign w:val="center"/>
          </w:tcPr>
          <w:p w14:paraId="570F0B59">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773340B4">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4</w:t>
            </w:r>
          </w:p>
        </w:tc>
        <w:tc>
          <w:tcPr>
            <w:tcW w:w="110" w:type="pct"/>
            <w:shd w:val="clear" w:color="auto" w:fill="auto"/>
            <w:vAlign w:val="center"/>
          </w:tcPr>
          <w:p w14:paraId="04461E66">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5E430CB7">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b/>
                <w:bCs/>
                <w:sz w:val="18"/>
                <w:szCs w:val="18"/>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rPr>
              <w:t>）知识</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掌握商贸企业基本概念与运营环境，利用对消费者行为和心理的分析进行市场调研和分析，掌握供应商评估、关系维护、绩效考核等管理流程，掌握销售策略的制定和执行方法，熟悉仓储管理、物流运输、配送、跟踪，了解客户服务与售后管理，理解财务管理的基本原理和方法，掌握基本的税务筹划方法。</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rPr>
              <w:t>）能力</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运用对商贸企业的实际需求和市场环境的分析结果，解决商贸企业业务流程的设计，确保业务流程的高效性和有效性；运用对现有业务流程中存在的问题和不足的分析结果，提出优化方案。</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w:t>
            </w:r>
            <w:r>
              <w:rPr>
                <w:rFonts w:hint="eastAsia" w:ascii="宋体" w:hAnsi="宋体" w:eastAsia="宋体" w:cs="宋体"/>
                <w:b/>
                <w:bCs/>
                <w:sz w:val="18"/>
                <w:szCs w:val="18"/>
                <w:lang w:val="en-US" w:eastAsia="zh-CN"/>
              </w:rPr>
              <w:t>目标</w:t>
            </w:r>
            <w:r>
              <w:rPr>
                <w:rFonts w:hint="eastAsia" w:ascii="宋体" w:hAnsi="宋体" w:eastAsia="宋体" w:cs="宋体"/>
                <w:b/>
                <w:bCs/>
                <w:sz w:val="18"/>
                <w:szCs w:val="18"/>
              </w:rPr>
              <w:t>：</w:t>
            </w:r>
            <w:r>
              <w:rPr>
                <w:rFonts w:hint="eastAsia" w:ascii="宋体" w:hAnsi="宋体" w:eastAsia="宋体" w:cs="宋体"/>
                <w:sz w:val="18"/>
                <w:szCs w:val="18"/>
              </w:rPr>
              <w:t>养成良好的职业习惯、职业道德和职业素养；形成良好的团队合作意识与交流沟通能力；具备爱岗敬业、勤学苦练的职业精神；诚实守信、遵守准则、严谨细致、认真负责的工作作风。</w:t>
            </w:r>
          </w:p>
        </w:tc>
        <w:tc>
          <w:tcPr>
            <w:tcW w:w="1443" w:type="pct"/>
            <w:vAlign w:val="center"/>
          </w:tcPr>
          <w:p w14:paraId="5C8F1D32">
            <w:pPr>
              <w:spacing w:line="240" w:lineRule="exact"/>
              <w:rPr>
                <w:rFonts w:hint="eastAsia" w:eastAsia="宋体" w:asciiTheme="minorEastAsia" w:hAnsiTheme="minorEastAsia" w:cstheme="minorEastAsia"/>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val="en-US" w:eastAsia="zh-CN"/>
              </w:rPr>
              <w:t>跨境电商</w:t>
            </w:r>
            <w:r>
              <w:rPr>
                <w:rFonts w:hint="eastAsia" w:ascii="宋体" w:hAnsi="宋体" w:eastAsia="宋体" w:cs="宋体"/>
                <w:sz w:val="18"/>
                <w:szCs w:val="18"/>
              </w:rPr>
              <w:t>企业概述</w:t>
            </w:r>
            <w:r>
              <w:rPr>
                <w:rFonts w:hint="eastAsia" w:ascii="宋体" w:hAnsi="宋体" w:eastAsia="宋体" w:cs="宋体"/>
                <w:sz w:val="18"/>
                <w:szCs w:val="18"/>
                <w:lang w:eastAsia="zh-CN"/>
              </w:rPr>
              <w:t>。</w:t>
            </w:r>
            <w:r>
              <w:rPr>
                <w:rFonts w:hint="eastAsia" w:ascii="宋体" w:hAnsi="宋体" w:eastAsia="宋体" w:cs="宋体"/>
                <w:sz w:val="18"/>
                <w:szCs w:val="18"/>
              </w:rPr>
              <w:t>（2）市场调研与分析：市场调研方法、市场需求分析、竞争对手分析</w:t>
            </w:r>
            <w:r>
              <w:rPr>
                <w:rFonts w:hint="eastAsia" w:ascii="宋体" w:hAnsi="宋体" w:eastAsia="宋体" w:cs="宋体"/>
                <w:sz w:val="18"/>
                <w:szCs w:val="18"/>
                <w:lang w:eastAsia="zh-CN"/>
              </w:rPr>
              <w:t>。</w:t>
            </w:r>
            <w:r>
              <w:rPr>
                <w:rFonts w:hint="eastAsia" w:ascii="宋体" w:hAnsi="宋体" w:eastAsia="宋体" w:cs="宋体"/>
                <w:sz w:val="18"/>
                <w:szCs w:val="18"/>
              </w:rPr>
              <w:t>（3）商品采购管理：采购计划指定、供应商管理、采购执行、绩效考核</w:t>
            </w:r>
            <w:r>
              <w:rPr>
                <w:rFonts w:hint="eastAsia" w:ascii="宋体" w:hAnsi="宋体" w:eastAsia="宋体" w:cs="宋体"/>
                <w:sz w:val="18"/>
                <w:szCs w:val="18"/>
                <w:lang w:eastAsia="zh-CN"/>
              </w:rPr>
              <w:t>。</w:t>
            </w:r>
            <w:r>
              <w:rPr>
                <w:rFonts w:hint="eastAsia" w:ascii="宋体" w:hAnsi="宋体" w:eastAsia="宋体" w:cs="宋体"/>
                <w:sz w:val="18"/>
                <w:szCs w:val="18"/>
              </w:rPr>
              <w:t>（4）销售与市场推广：销售策略制定、市场推广活动、销售渠道管理</w:t>
            </w:r>
            <w:r>
              <w:rPr>
                <w:rFonts w:hint="eastAsia" w:ascii="宋体" w:hAnsi="宋体" w:eastAsia="宋体" w:cs="宋体"/>
                <w:sz w:val="18"/>
                <w:szCs w:val="18"/>
                <w:lang w:eastAsia="zh-CN"/>
              </w:rPr>
              <w:t>。</w:t>
            </w:r>
            <w:r>
              <w:rPr>
                <w:rFonts w:hint="eastAsia" w:ascii="宋体" w:hAnsi="宋体" w:eastAsia="宋体" w:cs="宋体"/>
                <w:sz w:val="18"/>
                <w:szCs w:val="18"/>
              </w:rPr>
              <w:t>（5）仓储与物流管理</w:t>
            </w:r>
            <w:r>
              <w:rPr>
                <w:rFonts w:hint="eastAsia" w:ascii="宋体" w:hAnsi="宋体" w:eastAsia="宋体" w:cs="宋体"/>
                <w:sz w:val="18"/>
                <w:szCs w:val="18"/>
                <w:lang w:eastAsia="zh-CN"/>
              </w:rPr>
              <w:t>。</w:t>
            </w:r>
            <w:r>
              <w:rPr>
                <w:rFonts w:hint="eastAsia" w:ascii="宋体" w:hAnsi="宋体" w:eastAsia="宋体" w:cs="宋体"/>
                <w:sz w:val="18"/>
                <w:szCs w:val="18"/>
              </w:rPr>
              <w:t>（6）客户服务与售后管理</w:t>
            </w:r>
            <w:r>
              <w:rPr>
                <w:rFonts w:hint="eastAsia" w:ascii="宋体" w:hAnsi="宋体" w:eastAsia="宋体" w:cs="宋体"/>
                <w:sz w:val="18"/>
                <w:szCs w:val="18"/>
                <w:lang w:eastAsia="zh-CN"/>
              </w:rPr>
              <w:t>。</w:t>
            </w:r>
            <w:r>
              <w:rPr>
                <w:rFonts w:hint="eastAsia" w:ascii="宋体" w:hAnsi="宋体" w:eastAsia="宋体" w:cs="宋体"/>
                <w:sz w:val="18"/>
                <w:szCs w:val="18"/>
              </w:rPr>
              <w:t>（7）财务管理与税收筹划</w:t>
            </w:r>
            <w:r>
              <w:rPr>
                <w:rFonts w:hint="eastAsia" w:ascii="宋体" w:hAnsi="宋体" w:eastAsia="宋体" w:cs="宋体"/>
                <w:sz w:val="18"/>
                <w:szCs w:val="18"/>
                <w:lang w:eastAsia="zh-CN"/>
              </w:rPr>
              <w:t>。</w:t>
            </w:r>
            <w:r>
              <w:rPr>
                <w:rFonts w:hint="eastAsia" w:ascii="宋体" w:hAnsi="宋体" w:eastAsia="宋体" w:cs="宋体"/>
                <w:sz w:val="18"/>
                <w:szCs w:val="18"/>
              </w:rPr>
              <w:t>（8）业财融合下商贸企业业务流程优化典型案例分析</w:t>
            </w:r>
            <w:r>
              <w:rPr>
                <w:rFonts w:hint="eastAsia" w:ascii="宋体" w:hAnsi="宋体" w:eastAsia="宋体" w:cs="宋体"/>
                <w:sz w:val="18"/>
                <w:szCs w:val="18"/>
                <w:lang w:eastAsia="zh-CN"/>
              </w:rPr>
              <w:t>。</w:t>
            </w:r>
          </w:p>
        </w:tc>
      </w:tr>
      <w:tr w14:paraId="62EC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37C418D9">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restart"/>
            <w:shd w:val="clear" w:color="auto" w:fill="auto"/>
            <w:vAlign w:val="center"/>
          </w:tcPr>
          <w:p w14:paraId="78FA07AF">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横向拓展模块</w:t>
            </w:r>
          </w:p>
        </w:tc>
        <w:tc>
          <w:tcPr>
            <w:tcW w:w="187" w:type="pct"/>
            <w:shd w:val="clear" w:color="auto" w:fill="auto"/>
            <w:vAlign w:val="center"/>
          </w:tcPr>
          <w:p w14:paraId="2B05B006">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sz w:val="18"/>
                <w:szCs w:val="18"/>
              </w:rPr>
              <w:t>经济法基础</w:t>
            </w:r>
          </w:p>
        </w:tc>
        <w:tc>
          <w:tcPr>
            <w:tcW w:w="107" w:type="pct"/>
            <w:vAlign w:val="center"/>
          </w:tcPr>
          <w:p w14:paraId="143E9BF1">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40F12426">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A</w:t>
            </w:r>
          </w:p>
        </w:tc>
        <w:tc>
          <w:tcPr>
            <w:tcW w:w="107" w:type="pct"/>
            <w:shd w:val="clear" w:color="auto" w:fill="auto"/>
            <w:vAlign w:val="center"/>
          </w:tcPr>
          <w:p w14:paraId="7E049719">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11259D5C">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6B128EE3">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60</w:t>
            </w:r>
          </w:p>
        </w:tc>
        <w:tc>
          <w:tcPr>
            <w:tcW w:w="107" w:type="pct"/>
            <w:shd w:val="clear" w:color="auto" w:fill="auto"/>
            <w:vAlign w:val="center"/>
          </w:tcPr>
          <w:p w14:paraId="42008AB5">
            <w:pPr>
              <w:pStyle w:val="24"/>
              <w:spacing w:line="240" w:lineRule="auto"/>
              <w:ind w:left="0" w:firstLine="0" w:firstLineChars="0"/>
              <w:jc w:val="center"/>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val="en-US" w:eastAsia="zh-CN"/>
              </w:rPr>
              <w:t>4</w:t>
            </w:r>
          </w:p>
        </w:tc>
        <w:tc>
          <w:tcPr>
            <w:tcW w:w="107" w:type="pct"/>
            <w:shd w:val="clear" w:color="auto" w:fill="auto"/>
            <w:vAlign w:val="center"/>
          </w:tcPr>
          <w:p w14:paraId="29D61F7E">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1682E12B">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1</w:t>
            </w:r>
          </w:p>
        </w:tc>
        <w:tc>
          <w:tcPr>
            <w:tcW w:w="110" w:type="pct"/>
            <w:shd w:val="clear" w:color="auto" w:fill="auto"/>
            <w:vAlign w:val="center"/>
          </w:tcPr>
          <w:p w14:paraId="3604F188">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442C3CAF">
            <w:pPr>
              <w:spacing w:line="240" w:lineRule="exact"/>
              <w:rPr>
                <w:rFonts w:hint="eastAsia" w:ascii="宋体" w:hAnsi="宋体" w:cs="宋体"/>
                <w:sz w:val="18"/>
                <w:szCs w:val="18"/>
              </w:rPr>
            </w:pPr>
            <w:r>
              <w:rPr>
                <w:rFonts w:hint="eastAsia" w:ascii="宋体" w:hAnsi="宋体" w:cs="宋体"/>
                <w:b/>
                <w:sz w:val="18"/>
                <w:szCs w:val="18"/>
              </w:rPr>
              <w:t>（</w:t>
            </w:r>
            <w:r>
              <w:rPr>
                <w:rFonts w:hint="eastAsia" w:ascii="宋体" w:hAnsi="宋体" w:cs="宋体"/>
                <w:b/>
                <w:sz w:val="18"/>
                <w:szCs w:val="18"/>
                <w:lang w:val="en-US" w:eastAsia="zh-CN"/>
              </w:rPr>
              <w:t>1</w:t>
            </w:r>
            <w:r>
              <w:rPr>
                <w:rFonts w:hint="eastAsia" w:ascii="宋体" w:hAnsi="宋体" w:cs="宋体"/>
                <w:b/>
                <w:sz w:val="18"/>
                <w:szCs w:val="18"/>
              </w:rPr>
              <w:t>）</w:t>
            </w:r>
            <w:r>
              <w:rPr>
                <w:rFonts w:hint="eastAsia" w:ascii="宋体" w:hAnsi="宋体" w:cs="宋体"/>
                <w:b/>
                <w:sz w:val="18"/>
                <w:szCs w:val="18"/>
                <w:lang w:val="en-US" w:eastAsia="zh-CN"/>
              </w:rPr>
              <w:t>知识目标</w:t>
            </w:r>
            <w:r>
              <w:rPr>
                <w:rFonts w:hint="eastAsia" w:ascii="宋体" w:hAnsi="宋体" w:cs="宋体"/>
                <w:sz w:val="18"/>
                <w:szCs w:val="18"/>
              </w:rPr>
              <w:t>：了解经济法的基础理论知识；熟悉会计法律制度的基本规定；掌握支付结算法律制度的基本规定以及劳动合同和社会保险法律制度的基本规定。</w:t>
            </w:r>
            <w:r>
              <w:rPr>
                <w:rFonts w:hint="eastAsia" w:ascii="宋体" w:hAnsi="宋体" w:cs="宋体"/>
                <w:b/>
                <w:sz w:val="18"/>
                <w:szCs w:val="18"/>
              </w:rPr>
              <w:t>（</w:t>
            </w:r>
            <w:r>
              <w:rPr>
                <w:rFonts w:hint="eastAsia" w:ascii="宋体" w:hAnsi="宋体" w:cs="宋体"/>
                <w:b/>
                <w:sz w:val="18"/>
                <w:szCs w:val="18"/>
                <w:lang w:val="en-US" w:eastAsia="zh-CN"/>
              </w:rPr>
              <w:t>2</w:t>
            </w:r>
            <w:r>
              <w:rPr>
                <w:rFonts w:hint="eastAsia" w:ascii="宋体" w:hAnsi="宋体" w:cs="宋体"/>
                <w:b/>
                <w:sz w:val="18"/>
                <w:szCs w:val="18"/>
              </w:rPr>
              <w:t>）能力</w:t>
            </w:r>
            <w:r>
              <w:rPr>
                <w:rFonts w:hint="eastAsia" w:ascii="宋体" w:hAnsi="宋体" w:cs="宋体"/>
                <w:b/>
                <w:sz w:val="18"/>
                <w:szCs w:val="18"/>
                <w:lang w:val="en-US" w:eastAsia="zh-CN"/>
              </w:rPr>
              <w:t>目标</w:t>
            </w:r>
            <w:r>
              <w:rPr>
                <w:rFonts w:hint="eastAsia" w:ascii="宋体" w:hAnsi="宋体" w:cs="宋体"/>
                <w:sz w:val="18"/>
                <w:szCs w:val="18"/>
              </w:rPr>
              <w:t>：运用会计法知识依法设置会计机构、配备会计人员、办理会计业务；运用票据法知识规范填写和使用票据；运用劳动合同法知识正确订立劳动合同，掌握劳动合同的内容和劳动合同的解除程序</w:t>
            </w:r>
            <w:r>
              <w:rPr>
                <w:rFonts w:hint="eastAsia" w:ascii="宋体" w:hAnsi="宋体"/>
                <w:bCs/>
                <w:sz w:val="18"/>
                <w:szCs w:val="18"/>
              </w:rPr>
              <w:t>。</w:t>
            </w:r>
            <w:r>
              <w:rPr>
                <w:rFonts w:hint="eastAsia" w:ascii="宋体" w:hAnsi="宋体" w:cs="宋体"/>
                <w:b/>
                <w:sz w:val="18"/>
                <w:szCs w:val="18"/>
              </w:rPr>
              <w:t>（</w:t>
            </w:r>
            <w:r>
              <w:rPr>
                <w:rFonts w:hint="eastAsia" w:ascii="宋体" w:hAnsi="宋体" w:cs="宋体"/>
                <w:b/>
                <w:sz w:val="18"/>
                <w:szCs w:val="18"/>
                <w:lang w:val="en-US" w:eastAsia="zh-CN"/>
              </w:rPr>
              <w:t>3</w:t>
            </w:r>
            <w:r>
              <w:rPr>
                <w:rFonts w:hint="eastAsia" w:ascii="宋体" w:hAnsi="宋体" w:cs="宋体"/>
                <w:b/>
                <w:sz w:val="18"/>
                <w:szCs w:val="18"/>
              </w:rPr>
              <w:t>）素质</w:t>
            </w:r>
            <w:r>
              <w:rPr>
                <w:rFonts w:hint="eastAsia" w:ascii="宋体" w:hAnsi="宋体" w:cs="宋体"/>
                <w:b/>
                <w:sz w:val="18"/>
                <w:szCs w:val="18"/>
                <w:lang w:val="en-US" w:eastAsia="zh-CN"/>
              </w:rPr>
              <w:t>目标</w:t>
            </w:r>
            <w:r>
              <w:rPr>
                <w:rFonts w:hint="eastAsia" w:ascii="宋体" w:hAnsi="宋体" w:cs="宋体"/>
                <w:sz w:val="18"/>
                <w:szCs w:val="18"/>
              </w:rPr>
              <w:t>：培养遵纪守法意识、自主学习的习惯与能力；培养语言表达、文字写作能力，注重学生社会沟通能力和组织协调能力以及团队合作能力；具备运用经济法律、法规分析和解决问题的能力。</w:t>
            </w:r>
          </w:p>
          <w:p w14:paraId="2ABDB633">
            <w:pPr>
              <w:pStyle w:val="24"/>
              <w:spacing w:line="240" w:lineRule="auto"/>
              <w:ind w:left="105" w:leftChars="50" w:right="105" w:rightChars="50" w:firstLine="0" w:firstLineChars="0"/>
              <w:rPr>
                <w:rFonts w:hint="eastAsia" w:asciiTheme="minorEastAsia" w:hAnsiTheme="minorEastAsia" w:eastAsiaTheme="minorEastAsia" w:cstheme="minorEastAsia"/>
                <w:sz w:val="18"/>
                <w:szCs w:val="18"/>
              </w:rPr>
            </w:pPr>
          </w:p>
        </w:tc>
        <w:tc>
          <w:tcPr>
            <w:tcW w:w="1443" w:type="pct"/>
            <w:vAlign w:val="center"/>
          </w:tcPr>
          <w:p w14:paraId="44E6BCFB">
            <w:pPr>
              <w:numPr>
                <w:ilvl w:val="0"/>
                <w:numId w:val="0"/>
              </w:numPr>
              <w:spacing w:line="240" w:lineRule="exact"/>
              <w:rPr>
                <w:rFonts w:hint="eastAsia" w:eastAsia="宋体" w:asciiTheme="minorEastAsia" w:hAnsiTheme="minorEastAsia" w:cstheme="minorEastAsia"/>
                <w:sz w:val="18"/>
                <w:szCs w:val="18"/>
                <w:lang w:eastAsia="zh-CN"/>
              </w:rPr>
            </w:pPr>
            <w:r>
              <w:rPr>
                <w:rFonts w:hint="eastAsia" w:ascii="宋体" w:hAnsi="宋体" w:eastAsia="宋体" w:cs="宋体"/>
                <w:kern w:val="2"/>
                <w:sz w:val="18"/>
                <w:szCs w:val="18"/>
                <w:lang w:val="en-US" w:eastAsia="zh-CN" w:bidi="ar-SA"/>
              </w:rPr>
              <w:t>（1）</w:t>
            </w:r>
            <w:r>
              <w:rPr>
                <w:rFonts w:hint="eastAsia" w:ascii="宋体" w:hAnsi="宋体" w:cs="宋体"/>
                <w:sz w:val="18"/>
                <w:szCs w:val="18"/>
              </w:rPr>
              <w:t>经济法总论：法律基础、经济纠纷的解决途径及法律责任。</w:t>
            </w:r>
            <w:r>
              <w:rPr>
                <w:rFonts w:hint="eastAsia" w:ascii="宋体" w:hAnsi="宋体" w:eastAsia="宋体" w:cs="宋体"/>
                <w:kern w:val="2"/>
                <w:sz w:val="18"/>
                <w:szCs w:val="18"/>
                <w:lang w:val="en-US" w:eastAsia="zh-CN" w:bidi="ar-SA"/>
              </w:rPr>
              <w:t>（2）</w:t>
            </w:r>
            <w:r>
              <w:rPr>
                <w:rFonts w:hint="eastAsia" w:ascii="宋体" w:hAnsi="宋体" w:eastAsia="宋体" w:cs="宋体"/>
                <w:sz w:val="18"/>
                <w:szCs w:val="18"/>
              </w:rPr>
              <w:t>会计</w:t>
            </w:r>
            <w:r>
              <w:rPr>
                <w:rFonts w:hint="eastAsia" w:ascii="宋体" w:hAnsi="宋体" w:cs="宋体"/>
                <w:sz w:val="18"/>
                <w:szCs w:val="18"/>
              </w:rPr>
              <w:t>法律制度：会计核算与监督、会计机构和会计人员、会计职业道德及违反会计法律制度的法律责任。</w:t>
            </w:r>
            <w:r>
              <w:rPr>
                <w:rFonts w:hint="eastAsia" w:ascii="宋体" w:hAnsi="宋体" w:eastAsia="宋体" w:cs="宋体"/>
                <w:kern w:val="2"/>
                <w:sz w:val="18"/>
                <w:szCs w:val="18"/>
                <w:lang w:val="en-US" w:eastAsia="zh-CN" w:bidi="ar-SA"/>
              </w:rPr>
              <w:t>（3）</w:t>
            </w:r>
            <w:r>
              <w:rPr>
                <w:rFonts w:hint="eastAsia" w:ascii="宋体" w:hAnsi="宋体" w:cs="宋体"/>
                <w:sz w:val="18"/>
                <w:szCs w:val="18"/>
              </w:rPr>
              <w:t>支付结算法律制度：银行结算账户、结算方式和其他支付工具及结算纪律与法律责任。（4）劳动合同法律制度与社会保险法律制度。（5）业财融合下的经济法基础综合案例分析</w:t>
            </w:r>
            <w:r>
              <w:rPr>
                <w:rFonts w:hint="eastAsia" w:ascii="宋体" w:hAnsi="宋体" w:cs="宋体"/>
                <w:sz w:val="18"/>
                <w:szCs w:val="18"/>
                <w:lang w:eastAsia="zh-CN"/>
              </w:rPr>
              <w:t>。</w:t>
            </w:r>
          </w:p>
        </w:tc>
      </w:tr>
      <w:bookmarkEnd w:id="6"/>
      <w:tr w14:paraId="4BDAE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2E5921FE">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continue"/>
            <w:shd w:val="clear" w:color="auto" w:fill="auto"/>
            <w:vAlign w:val="center"/>
          </w:tcPr>
          <w:p w14:paraId="2C79E2C5">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5AFD5CB5">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会计</w:t>
            </w:r>
          </w:p>
          <w:p w14:paraId="44DA6DFC">
            <w:pPr>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基础</w:t>
            </w:r>
          </w:p>
        </w:tc>
        <w:tc>
          <w:tcPr>
            <w:tcW w:w="107" w:type="pct"/>
            <w:vAlign w:val="center"/>
          </w:tcPr>
          <w:p w14:paraId="0ABA3B69">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2585DCF9">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1B7B0E48">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4</w:t>
            </w:r>
          </w:p>
        </w:tc>
        <w:tc>
          <w:tcPr>
            <w:tcW w:w="107" w:type="pct"/>
            <w:shd w:val="clear" w:color="auto" w:fill="auto"/>
            <w:vAlign w:val="center"/>
          </w:tcPr>
          <w:p w14:paraId="5ADFA11E">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64</w:t>
            </w:r>
          </w:p>
        </w:tc>
        <w:tc>
          <w:tcPr>
            <w:tcW w:w="107" w:type="pct"/>
            <w:shd w:val="clear" w:color="auto" w:fill="auto"/>
            <w:vAlign w:val="center"/>
          </w:tcPr>
          <w:p w14:paraId="5034E83E">
            <w:pPr>
              <w:pStyle w:val="24"/>
              <w:spacing w:line="240" w:lineRule="auto"/>
              <w:ind w:left="0" w:firstLine="0" w:firstLineChars="0"/>
              <w:jc w:val="center"/>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48</w:t>
            </w:r>
          </w:p>
        </w:tc>
        <w:tc>
          <w:tcPr>
            <w:tcW w:w="107" w:type="pct"/>
            <w:shd w:val="clear" w:color="auto" w:fill="auto"/>
            <w:vAlign w:val="center"/>
          </w:tcPr>
          <w:p w14:paraId="18BE8564">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eastAsia="zh-CN"/>
              </w:rPr>
              <w:t>1</w:t>
            </w:r>
            <w:r>
              <w:rPr>
                <w:rFonts w:hint="eastAsia" w:asciiTheme="minorEastAsia" w:hAnsiTheme="minorEastAsia" w:eastAsiaTheme="minorEastAsia" w:cstheme="minorEastAsia"/>
                <w:sz w:val="18"/>
                <w:szCs w:val="18"/>
                <w:lang w:val="en-US"/>
              </w:rPr>
              <w:t>6</w:t>
            </w:r>
          </w:p>
        </w:tc>
        <w:tc>
          <w:tcPr>
            <w:tcW w:w="107" w:type="pct"/>
            <w:shd w:val="clear" w:color="auto" w:fill="auto"/>
            <w:vAlign w:val="center"/>
          </w:tcPr>
          <w:p w14:paraId="60101243">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6399725F">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asciiTheme="minorEastAsia" w:hAnsiTheme="minorEastAsia" w:eastAsiaTheme="minorEastAsia" w:cstheme="minorEastAsia"/>
                <w:sz w:val="18"/>
                <w:szCs w:val="18"/>
                <w:lang w:eastAsia="en-US"/>
              </w:rPr>
              <w:t>1</w:t>
            </w:r>
          </w:p>
        </w:tc>
        <w:tc>
          <w:tcPr>
            <w:tcW w:w="110" w:type="pct"/>
            <w:shd w:val="clear" w:color="auto" w:fill="auto"/>
            <w:vAlign w:val="center"/>
          </w:tcPr>
          <w:p w14:paraId="10C5A525">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095D2EDF">
            <w:pPr>
              <w:spacing w:line="240" w:lineRule="exact"/>
              <w:rPr>
                <w:rFonts w:hint="eastAsia" w:asciiTheme="minorEastAsia" w:hAnsiTheme="minorEastAsia" w:eastAsiaTheme="minorEastAsia" w:cstheme="minorEastAsia"/>
                <w:sz w:val="18"/>
                <w:szCs w:val="18"/>
              </w:rPr>
            </w:pPr>
            <w:r>
              <w:rPr>
                <w:rFonts w:hint="eastAsia" w:ascii="宋体" w:hAnsi="宋体" w:cs="宋体"/>
                <w:b/>
                <w:bCs/>
                <w:sz w:val="18"/>
                <w:szCs w:val="18"/>
              </w:rPr>
              <w:t>（</w:t>
            </w:r>
            <w:r>
              <w:rPr>
                <w:rFonts w:hint="eastAsia" w:ascii="宋体" w:hAnsi="宋体" w:cs="宋体"/>
                <w:b/>
                <w:bCs/>
                <w:sz w:val="18"/>
                <w:szCs w:val="18"/>
                <w:lang w:val="en-US" w:eastAsia="zh-CN"/>
              </w:rPr>
              <w:t>1</w:t>
            </w:r>
            <w:r>
              <w:rPr>
                <w:rFonts w:hint="eastAsia" w:ascii="宋体" w:hAnsi="宋体" w:cs="宋体"/>
                <w:b/>
                <w:bCs/>
                <w:sz w:val="18"/>
                <w:szCs w:val="18"/>
              </w:rPr>
              <w:t>）知识</w:t>
            </w:r>
            <w:r>
              <w:rPr>
                <w:rFonts w:hint="eastAsia" w:ascii="宋体" w:hAnsi="宋体" w:cs="宋体"/>
                <w:b/>
                <w:bCs/>
                <w:sz w:val="18"/>
                <w:szCs w:val="18"/>
                <w:lang w:val="en-US" w:eastAsia="zh-CN"/>
              </w:rPr>
              <w:t>目标</w:t>
            </w:r>
            <w:r>
              <w:rPr>
                <w:rFonts w:hint="eastAsia" w:ascii="宋体" w:hAnsi="宋体" w:cs="宋体"/>
                <w:bCs/>
                <w:sz w:val="18"/>
                <w:szCs w:val="18"/>
              </w:rPr>
              <w:t>：了解业财会计的基本概念、基本职能、特点和国家有关财经方针政策。运用借贷记账法解决企业筹资、采购、生产、销售、投资、分配等基本业务的会计核算问题，运用会计实务操作掌握会计凭证、账簿、资产负债表和利润表的作用和内容等。</w:t>
            </w:r>
            <w:r>
              <w:rPr>
                <w:rFonts w:hint="eastAsia" w:ascii="宋体" w:hAnsi="宋体" w:cs="宋体"/>
                <w:b/>
                <w:bCs/>
                <w:sz w:val="18"/>
                <w:szCs w:val="18"/>
              </w:rPr>
              <w:t>（</w:t>
            </w:r>
            <w:r>
              <w:rPr>
                <w:rFonts w:hint="eastAsia" w:ascii="宋体" w:hAnsi="宋体" w:cs="宋体"/>
                <w:b/>
                <w:bCs/>
                <w:sz w:val="18"/>
                <w:szCs w:val="18"/>
                <w:lang w:val="en-US" w:eastAsia="zh-CN"/>
              </w:rPr>
              <w:t>2</w:t>
            </w:r>
            <w:r>
              <w:rPr>
                <w:rFonts w:hint="eastAsia" w:ascii="宋体" w:hAnsi="宋体" w:cs="宋体"/>
                <w:b/>
                <w:bCs/>
                <w:sz w:val="18"/>
                <w:szCs w:val="18"/>
              </w:rPr>
              <w:t>）能力</w:t>
            </w:r>
            <w:r>
              <w:rPr>
                <w:rFonts w:hint="eastAsia" w:ascii="宋体" w:hAnsi="宋体" w:cs="宋体"/>
                <w:b/>
                <w:bCs/>
                <w:sz w:val="18"/>
                <w:szCs w:val="18"/>
                <w:lang w:val="en-US" w:eastAsia="zh-CN"/>
              </w:rPr>
              <w:t>目标</w:t>
            </w:r>
            <w:r>
              <w:rPr>
                <w:rFonts w:hint="eastAsia" w:ascii="宋体" w:hAnsi="宋体" w:cs="宋体"/>
                <w:bCs/>
                <w:sz w:val="18"/>
                <w:szCs w:val="18"/>
              </w:rPr>
              <w:t>：运用借贷记账法对企业基本经济业务进行业务核算，正确填制和审核原始凭证、编制记账凭证、登记账簿，进行对账和结账；根据有关账簿记录编制资产负债表和利润表。</w:t>
            </w:r>
            <w:r>
              <w:rPr>
                <w:rFonts w:hint="eastAsia" w:ascii="宋体" w:hAnsi="宋体" w:cs="宋体"/>
                <w:b/>
                <w:bCs/>
                <w:sz w:val="18"/>
                <w:szCs w:val="18"/>
              </w:rPr>
              <w:t>（</w:t>
            </w:r>
            <w:r>
              <w:rPr>
                <w:rFonts w:hint="eastAsia" w:ascii="宋体" w:hAnsi="宋体" w:cs="宋体"/>
                <w:b/>
                <w:bCs/>
                <w:sz w:val="18"/>
                <w:szCs w:val="18"/>
                <w:lang w:val="en-US" w:eastAsia="zh-CN"/>
              </w:rPr>
              <w:t>3</w:t>
            </w:r>
            <w:r>
              <w:rPr>
                <w:rFonts w:hint="eastAsia" w:ascii="宋体" w:hAnsi="宋体" w:cs="宋体"/>
                <w:b/>
                <w:bCs/>
                <w:sz w:val="18"/>
                <w:szCs w:val="18"/>
              </w:rPr>
              <w:t>）素质</w:t>
            </w:r>
            <w:r>
              <w:rPr>
                <w:rFonts w:hint="eastAsia" w:ascii="宋体" w:hAnsi="宋体" w:cs="宋体"/>
                <w:b/>
                <w:bCs/>
                <w:sz w:val="18"/>
                <w:szCs w:val="18"/>
                <w:lang w:val="en-US" w:eastAsia="zh-CN"/>
              </w:rPr>
              <w:t>目标</w:t>
            </w:r>
            <w:r>
              <w:rPr>
                <w:rFonts w:hint="eastAsia" w:ascii="宋体" w:hAnsi="宋体" w:cs="宋体"/>
                <w:bCs/>
                <w:sz w:val="18"/>
                <w:szCs w:val="18"/>
              </w:rPr>
              <w:t>：培养认真、细致、严谨的工作作风和敬业精神，形成业财融合管理人员应具备的良好职业习惯；培养养成诚实守信、求实廉洁的职业态度，树立良好的职业道德观念；培养创新能力和团队协作的能力。</w:t>
            </w:r>
          </w:p>
        </w:tc>
        <w:tc>
          <w:tcPr>
            <w:tcW w:w="1443" w:type="pct"/>
            <w:vAlign w:val="top"/>
          </w:tcPr>
          <w:p w14:paraId="56DBDDDA">
            <w:pPr>
              <w:spacing w:line="240" w:lineRule="exact"/>
              <w:rPr>
                <w:rFonts w:hint="eastAsia" w:asciiTheme="minorEastAsia" w:hAnsiTheme="minorEastAsia" w:eastAsiaTheme="minorEastAsia" w:cstheme="minorEastAsia"/>
                <w:sz w:val="18"/>
                <w:szCs w:val="18"/>
              </w:rPr>
            </w:pPr>
            <w:r>
              <w:rPr>
                <w:rFonts w:hint="eastAsia" w:ascii="宋体" w:hAnsi="宋体" w:cs="宋体"/>
                <w:bCs/>
                <w:sz w:val="18"/>
                <w:szCs w:val="18"/>
              </w:rPr>
              <w:t>（1）业财会计基本认知：企业与会计报表、会计要素与会计科目、经济业务与借贷记账法。（2）筹资业务核算：发行股票、短期借款、长期借款。（3）采购业务核算：材料采购、材料入库、采购结算。（4）生产业务核算：直接材料、直接人工、制造费用、完工产品成本。（5）销售业务核算：销售收入、销售成本、销售结算。（6）投资业务核算：固定资产、无形资产、交易性金融资产、长期股权投资。（7）利润与利润分配核算：利润形成、利润结转、利润分配。（8）会计基本工作：填制会计凭证、登记会计账簿、编制会计报表、财务指标分析。</w:t>
            </w:r>
            <w:r>
              <w:rPr>
                <w:rFonts w:hint="eastAsia" w:ascii="宋体" w:hAnsi="宋体" w:cs="宋体"/>
                <w:sz w:val="18"/>
                <w:szCs w:val="18"/>
              </w:rPr>
              <w:t>（9）业财融合下的业财融合会计基础综合案例分析。</w:t>
            </w:r>
          </w:p>
        </w:tc>
      </w:tr>
      <w:tr w14:paraId="24602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0" w:type="pct"/>
            <w:vMerge w:val="continue"/>
            <w:vAlign w:val="center"/>
          </w:tcPr>
          <w:p w14:paraId="26F3605A">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5" w:type="pct"/>
            <w:vMerge w:val="continue"/>
            <w:shd w:val="clear" w:color="auto" w:fill="auto"/>
            <w:vAlign w:val="center"/>
          </w:tcPr>
          <w:p w14:paraId="61C43363">
            <w:pPr>
              <w:pStyle w:val="24"/>
              <w:spacing w:line="240" w:lineRule="auto"/>
              <w:ind w:left="0" w:firstLine="0" w:firstLineChars="0"/>
              <w:jc w:val="center"/>
              <w:rPr>
                <w:rFonts w:hint="eastAsia" w:asciiTheme="minorEastAsia" w:hAnsiTheme="minorEastAsia" w:eastAsiaTheme="minorEastAsia" w:cstheme="minorEastAsia"/>
                <w:sz w:val="18"/>
                <w:szCs w:val="18"/>
              </w:rPr>
            </w:pPr>
          </w:p>
        </w:tc>
        <w:tc>
          <w:tcPr>
            <w:tcW w:w="187" w:type="pct"/>
            <w:shd w:val="clear" w:color="auto" w:fill="auto"/>
            <w:vAlign w:val="center"/>
          </w:tcPr>
          <w:p w14:paraId="3EF43CE0">
            <w:pPr>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sz w:val="18"/>
                <w:szCs w:val="18"/>
              </w:rPr>
              <w:t>现代金融基础</w:t>
            </w:r>
          </w:p>
        </w:tc>
        <w:tc>
          <w:tcPr>
            <w:tcW w:w="107" w:type="pct"/>
            <w:vAlign w:val="center"/>
          </w:tcPr>
          <w:p w14:paraId="3AD02408">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选修</w:t>
            </w:r>
          </w:p>
        </w:tc>
        <w:tc>
          <w:tcPr>
            <w:tcW w:w="107" w:type="pct"/>
            <w:shd w:val="clear" w:color="auto" w:fill="auto"/>
            <w:vAlign w:val="center"/>
          </w:tcPr>
          <w:p w14:paraId="5E032BC2">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B</w:t>
            </w:r>
          </w:p>
        </w:tc>
        <w:tc>
          <w:tcPr>
            <w:tcW w:w="107" w:type="pct"/>
            <w:shd w:val="clear" w:color="auto" w:fill="auto"/>
            <w:vAlign w:val="center"/>
          </w:tcPr>
          <w:p w14:paraId="3AB29E0C">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2</w:t>
            </w:r>
          </w:p>
        </w:tc>
        <w:tc>
          <w:tcPr>
            <w:tcW w:w="107" w:type="pct"/>
            <w:shd w:val="clear" w:color="auto" w:fill="auto"/>
            <w:vAlign w:val="center"/>
          </w:tcPr>
          <w:p w14:paraId="716613C3">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32</w:t>
            </w:r>
          </w:p>
        </w:tc>
        <w:tc>
          <w:tcPr>
            <w:tcW w:w="107" w:type="pct"/>
            <w:shd w:val="clear" w:color="auto" w:fill="auto"/>
            <w:vAlign w:val="center"/>
          </w:tcPr>
          <w:p w14:paraId="74112522">
            <w:pPr>
              <w:pStyle w:val="24"/>
              <w:spacing w:line="240" w:lineRule="auto"/>
              <w:ind w:left="0" w:firstLine="0" w:firstLineChars="0"/>
              <w:jc w:val="center"/>
              <w:rPr>
                <w:rFonts w:hint="eastAsia" w:asciiTheme="minorEastAsia" w:hAnsiTheme="minorEastAsia" w:eastAsiaTheme="minorEastAsia" w:cstheme="minorEastAsia"/>
                <w:sz w:val="18"/>
                <w:szCs w:val="18"/>
                <w:lang w:val="en-US"/>
              </w:rPr>
            </w:pPr>
            <w:r>
              <w:rPr>
                <w:rFonts w:hint="eastAsia" w:asciiTheme="minorEastAsia" w:hAnsiTheme="minorEastAsia" w:eastAsiaTheme="minorEastAsia" w:cstheme="minorEastAsia"/>
                <w:sz w:val="18"/>
                <w:szCs w:val="18"/>
                <w:lang w:val="en-US"/>
              </w:rPr>
              <w:t>24</w:t>
            </w:r>
          </w:p>
        </w:tc>
        <w:tc>
          <w:tcPr>
            <w:tcW w:w="107" w:type="pct"/>
            <w:shd w:val="clear" w:color="auto" w:fill="auto"/>
            <w:vAlign w:val="center"/>
          </w:tcPr>
          <w:p w14:paraId="50CA8EF3">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8</w:t>
            </w:r>
          </w:p>
        </w:tc>
        <w:tc>
          <w:tcPr>
            <w:tcW w:w="107" w:type="pct"/>
            <w:shd w:val="clear" w:color="auto" w:fill="auto"/>
            <w:vAlign w:val="center"/>
          </w:tcPr>
          <w:p w14:paraId="05DAD506">
            <w:pPr>
              <w:pStyle w:val="24"/>
              <w:spacing w:line="240" w:lineRule="auto"/>
              <w:ind w:left="0" w:firstLine="0" w:firstLineChars="0"/>
              <w:jc w:val="center"/>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rPr>
              <w:t>考查</w:t>
            </w:r>
          </w:p>
        </w:tc>
        <w:tc>
          <w:tcPr>
            <w:tcW w:w="162" w:type="pct"/>
            <w:shd w:val="clear" w:color="auto" w:fill="auto"/>
            <w:vAlign w:val="center"/>
          </w:tcPr>
          <w:p w14:paraId="372B0B5E">
            <w:pPr>
              <w:pStyle w:val="24"/>
              <w:spacing w:line="240" w:lineRule="auto"/>
              <w:ind w:left="0" w:firstLine="0" w:firstLineChars="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rPr>
              <w:t>2</w:t>
            </w:r>
          </w:p>
        </w:tc>
        <w:tc>
          <w:tcPr>
            <w:tcW w:w="110" w:type="pct"/>
            <w:shd w:val="clear" w:color="auto" w:fill="auto"/>
            <w:vAlign w:val="center"/>
          </w:tcPr>
          <w:p w14:paraId="095FD3DE">
            <w:pPr>
              <w:pStyle w:val="24"/>
              <w:spacing w:line="240" w:lineRule="auto"/>
              <w:ind w:left="0" w:firstLine="0" w:firstLineChars="0"/>
              <w:jc w:val="center"/>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sz w:val="18"/>
                <w:szCs w:val="18"/>
                <w:lang w:val="en-US"/>
              </w:rPr>
              <w:t>学校</w:t>
            </w:r>
          </w:p>
        </w:tc>
        <w:tc>
          <w:tcPr>
            <w:tcW w:w="2040" w:type="pct"/>
            <w:shd w:val="clear" w:color="auto" w:fill="auto"/>
            <w:vAlign w:val="center"/>
          </w:tcPr>
          <w:p w14:paraId="3C4FA066">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1</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知识目标</w:t>
            </w:r>
            <w:r>
              <w:rPr>
                <w:rFonts w:hint="eastAsia" w:ascii="宋体" w:hAnsi="宋体" w:eastAsia="宋体" w:cs="宋体"/>
                <w:b/>
                <w:bCs/>
                <w:sz w:val="18"/>
                <w:szCs w:val="18"/>
                <w:lang w:eastAsia="zh-CN"/>
              </w:rPr>
              <w:t>：</w:t>
            </w:r>
            <w:r>
              <w:rPr>
                <w:rFonts w:hint="eastAsia" w:ascii="宋体" w:hAnsi="宋体" w:eastAsia="宋体" w:cs="宋体"/>
                <w:sz w:val="18"/>
                <w:szCs w:val="18"/>
              </w:rPr>
              <w:t>理解货币和货币制度相关概念和理论；了解我国和国际的金融机构体系，掌握中央银行、商业银行等重点金融机构的特性、业务和相关理论等；理解金融市场和金融工具的基本概念、基本理念；掌握货币市场和资本市场子市场和相关金融工具的含义、特点、功能、运行机制，理解相关金融产品的价值评估原理；了解金融衍生工具市场子市场和相关金融工具的含义、特点、功能等；理解宏观金融基本范畴和相关理论:货币需求与货币供给、货币均衡与市场均衡、利率形成与汇率形成、通货膨胀与通货紧缩、金融风险与监管，互联网金融。</w:t>
            </w:r>
            <w:r>
              <w:rPr>
                <w:rFonts w:hint="eastAsia" w:ascii="宋体" w:hAnsi="宋体" w:eastAsia="宋体" w:cs="宋体"/>
                <w:b/>
                <w:bCs/>
                <w:sz w:val="18"/>
                <w:szCs w:val="18"/>
                <w:lang w:eastAsia="zh-CN"/>
              </w:rPr>
              <w:t>（</w:t>
            </w:r>
            <w:r>
              <w:rPr>
                <w:rFonts w:hint="eastAsia" w:ascii="宋体" w:hAnsi="宋体" w:eastAsia="宋体" w:cs="宋体"/>
                <w:b/>
                <w:bCs/>
                <w:sz w:val="18"/>
                <w:szCs w:val="18"/>
                <w:lang w:val="en-US" w:eastAsia="zh-CN"/>
              </w:rPr>
              <w:t>2</w:t>
            </w:r>
            <w:r>
              <w:rPr>
                <w:rFonts w:hint="eastAsia" w:ascii="宋体" w:hAnsi="宋体" w:eastAsia="宋体" w:cs="宋体"/>
                <w:b/>
                <w:bCs/>
                <w:sz w:val="18"/>
                <w:szCs w:val="18"/>
                <w:lang w:eastAsia="zh-CN"/>
              </w:rPr>
              <w:t>）</w:t>
            </w:r>
            <w:r>
              <w:rPr>
                <w:rFonts w:hint="eastAsia" w:ascii="宋体" w:hAnsi="宋体" w:eastAsia="宋体" w:cs="宋体"/>
                <w:b/>
                <w:bCs/>
                <w:sz w:val="18"/>
                <w:szCs w:val="18"/>
              </w:rPr>
              <w:t>能力目标</w:t>
            </w:r>
            <w:r>
              <w:rPr>
                <w:rFonts w:hint="eastAsia" w:ascii="宋体" w:hAnsi="宋体" w:eastAsia="宋体" w:cs="宋体"/>
                <w:b/>
                <w:bCs/>
                <w:sz w:val="18"/>
                <w:szCs w:val="18"/>
                <w:lang w:val="en-US" w:eastAsia="zh-CN"/>
              </w:rPr>
              <w:t>:</w:t>
            </w:r>
            <w:r>
              <w:rPr>
                <w:rFonts w:hint="eastAsia" w:ascii="宋体" w:hAnsi="宋体" w:eastAsia="宋体" w:cs="宋体"/>
                <w:sz w:val="18"/>
                <w:szCs w:val="18"/>
              </w:rPr>
              <w:t>通过课堂教学和课外学习，使学生了解国内外金融问题的现状，掌握观察和分析金融问题的正确方法，具有解决金融实际问题的能力。了解我国金融实践发展新的改革方向，新变化，新形势。培养可持续学习的能力，具有终身学习意识、自主学习能力和自我发展潜能，主动学习学科前沿知识、行业动态、岗位技能。</w:t>
            </w:r>
            <w:r>
              <w:rPr>
                <w:rFonts w:hint="eastAsia" w:ascii="宋体" w:hAnsi="宋体" w:eastAsia="宋体" w:cs="宋体"/>
                <w:b/>
                <w:bCs/>
                <w:sz w:val="18"/>
                <w:szCs w:val="18"/>
              </w:rPr>
              <w:t>（</w:t>
            </w:r>
            <w:r>
              <w:rPr>
                <w:rFonts w:hint="eastAsia" w:ascii="宋体" w:hAnsi="宋体" w:eastAsia="宋体" w:cs="宋体"/>
                <w:b/>
                <w:bCs/>
                <w:sz w:val="18"/>
                <w:szCs w:val="18"/>
                <w:lang w:val="en-US" w:eastAsia="zh-CN"/>
              </w:rPr>
              <w:t>3</w:t>
            </w:r>
            <w:r>
              <w:rPr>
                <w:rFonts w:hint="eastAsia" w:ascii="宋体" w:hAnsi="宋体" w:eastAsia="宋体" w:cs="宋体"/>
                <w:b/>
                <w:bCs/>
                <w:sz w:val="18"/>
                <w:szCs w:val="18"/>
              </w:rPr>
              <w:t>）素质目标</w:t>
            </w:r>
            <w:r>
              <w:rPr>
                <w:rFonts w:hint="eastAsia" w:ascii="宋体" w:hAnsi="宋体" w:eastAsia="宋体" w:cs="宋体"/>
                <w:b/>
                <w:bCs/>
                <w:sz w:val="18"/>
                <w:szCs w:val="18"/>
                <w:lang w:val="en-US" w:eastAsia="zh-CN"/>
              </w:rPr>
              <w:t>:</w:t>
            </w:r>
            <w:r>
              <w:rPr>
                <w:rFonts w:hint="eastAsia" w:ascii="宋体" w:hAnsi="宋体" w:eastAsia="宋体" w:cs="宋体"/>
                <w:sz w:val="18"/>
                <w:szCs w:val="18"/>
              </w:rPr>
              <w:t>具备基本的现代公民金融素养、诚信服务的职业道德</w:t>
            </w:r>
            <w:r>
              <w:rPr>
                <w:rFonts w:hint="eastAsia" w:ascii="宋体" w:hAnsi="宋体" w:eastAsia="宋体" w:cs="宋体"/>
                <w:sz w:val="18"/>
                <w:szCs w:val="18"/>
                <w:lang w:val="en-US" w:eastAsia="zh-CN"/>
              </w:rPr>
              <w:t>;</w:t>
            </w:r>
            <w:r>
              <w:rPr>
                <w:rFonts w:hint="eastAsia" w:ascii="宋体" w:hAnsi="宋体" w:eastAsia="宋体" w:cs="宋体"/>
                <w:sz w:val="18"/>
                <w:szCs w:val="18"/>
              </w:rPr>
              <w:t>了解基本国情，关心国家社会经济金融现实问题及发展</w:t>
            </w:r>
            <w:r>
              <w:rPr>
                <w:rFonts w:hint="eastAsia" w:ascii="宋体" w:hAnsi="宋体" w:eastAsia="宋体" w:cs="宋体"/>
                <w:sz w:val="18"/>
                <w:szCs w:val="18"/>
                <w:lang w:val="en-US" w:eastAsia="zh-CN"/>
              </w:rPr>
              <w:t>;</w:t>
            </w:r>
            <w:r>
              <w:rPr>
                <w:rFonts w:hint="eastAsia" w:ascii="宋体" w:hAnsi="宋体" w:eastAsia="宋体" w:cs="宋体"/>
                <w:sz w:val="18"/>
                <w:szCs w:val="18"/>
              </w:rPr>
              <w:t>坚定四个自信、树立金融自信、增强政治信念</w:t>
            </w:r>
            <w:r>
              <w:rPr>
                <w:rFonts w:hint="eastAsia" w:ascii="宋体" w:hAnsi="宋体" w:eastAsia="宋体" w:cs="宋体"/>
                <w:sz w:val="18"/>
                <w:szCs w:val="18"/>
                <w:lang w:eastAsia="zh-CN"/>
              </w:rPr>
              <w:t>。</w:t>
            </w:r>
          </w:p>
        </w:tc>
        <w:tc>
          <w:tcPr>
            <w:tcW w:w="1443" w:type="pct"/>
            <w:vAlign w:val="center"/>
          </w:tcPr>
          <w:p w14:paraId="55C93E19">
            <w:pPr>
              <w:spacing w:line="240" w:lineRule="exact"/>
              <w:rPr>
                <w:rFonts w:hint="eastAsia" w:asciiTheme="minorEastAsia" w:hAnsiTheme="minorEastAsia" w:eastAsiaTheme="minorEastAsia" w:cstheme="minorEastAsia"/>
                <w:sz w:val="18"/>
                <w:szCs w:val="18"/>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走进金融：金融概述。（2）树立正确的金钱观：货币的起源和本质、货币的职能、货币制度、货币形式的演变。（3）树立现代信用观：信用的含义、特点，信用工具。（4）计算利息：利息与利率。（5）</w:t>
            </w:r>
            <w:r>
              <w:rPr>
                <w:rFonts w:hint="eastAsia" w:ascii="宋体" w:hAnsi="宋体" w:eastAsia="宋体" w:cs="宋体"/>
                <w:sz w:val="18"/>
                <w:szCs w:val="18"/>
              </w:rPr>
              <w:t>认识企业的间接融资渠道</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中央银行、商业银行等金融机构的职能、业务。（6）认识企业的直接融资渠道：货币市场、资本市场。（7）货币均衡、通货膨胀与通货紧缩。（8）货币政策：传统货币政策与创新型货币政策。（</w:t>
            </w:r>
            <w:r>
              <w:rPr>
                <w:rFonts w:hint="eastAsia" w:ascii="宋体" w:hAnsi="宋体" w:cs="宋体"/>
                <w:sz w:val="18"/>
                <w:szCs w:val="18"/>
                <w:lang w:val="en-US" w:eastAsia="zh-CN"/>
              </w:rPr>
              <w:t>9</w:t>
            </w:r>
            <w:r>
              <w:rPr>
                <w:rFonts w:hint="eastAsia" w:ascii="宋体" w:hAnsi="宋体" w:eastAsia="宋体" w:cs="宋体"/>
                <w:sz w:val="18"/>
                <w:szCs w:val="18"/>
                <w:lang w:val="en-US" w:eastAsia="zh-CN"/>
              </w:rPr>
              <w:t>）认识金融风险与防范金融风险。</w:t>
            </w:r>
          </w:p>
        </w:tc>
      </w:tr>
    </w:tbl>
    <w:p w14:paraId="198B6C67">
      <w:pPr>
        <w:adjustRightInd w:val="0"/>
        <w:snapToGrid w:val="0"/>
        <w:spacing w:before="156" w:beforeLines="50" w:line="360" w:lineRule="auto"/>
        <w:ind w:firstLine="482" w:firstLineChars="200"/>
        <w:outlineLvl w:val="0"/>
        <w:rPr>
          <w:rFonts w:hint="eastAsia" w:ascii="宋体" w:hAnsi="宋体" w:cs="Angsana New"/>
          <w:b/>
          <w:sz w:val="24"/>
          <w:szCs w:val="24"/>
          <w:lang w:bidi="th-TH"/>
        </w:rPr>
        <w:sectPr>
          <w:pgSz w:w="23811" w:h="16838" w:orient="landscape"/>
          <w:pgMar w:top="1701" w:right="1417" w:bottom="1701" w:left="1417" w:header="851" w:footer="992" w:gutter="0"/>
          <w:cols w:space="0" w:num="1"/>
          <w:docGrid w:type="lines" w:linePitch="312" w:charSpace="0"/>
        </w:sectPr>
      </w:pPr>
    </w:p>
    <w:p w14:paraId="22BFD811">
      <w:pPr>
        <w:adjustRightInd w:val="0"/>
        <w:snapToGrid w:val="0"/>
        <w:jc w:val="center"/>
        <w:rPr>
          <w:rFonts w:hint="eastAsia" w:ascii="宋体" w:hAnsi="宋体"/>
          <w:b/>
          <w:bCs/>
          <w:kern w:val="0"/>
          <w:szCs w:val="21"/>
        </w:rPr>
      </w:pPr>
      <w:r>
        <w:rPr>
          <w:rFonts w:hint="eastAsia" w:ascii="宋体" w:hAnsi="宋体"/>
          <w:b/>
          <w:bCs/>
          <w:kern w:val="0"/>
          <w:szCs w:val="21"/>
        </w:rPr>
        <w:t>表5  课程类别与学分结构总表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992"/>
        <w:gridCol w:w="949"/>
        <w:gridCol w:w="1029"/>
        <w:gridCol w:w="886"/>
        <w:gridCol w:w="932"/>
        <w:gridCol w:w="1939"/>
      </w:tblGrid>
      <w:tr w14:paraId="4162D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9" w:type="pct"/>
            <w:vAlign w:val="center"/>
          </w:tcPr>
          <w:p w14:paraId="34D0D95F">
            <w:pPr>
              <w:jc w:val="center"/>
              <w:rPr>
                <w:b/>
                <w:szCs w:val="21"/>
              </w:rPr>
            </w:pPr>
            <w:r>
              <w:rPr>
                <w:rFonts w:hint="eastAsia" w:ascii="宋体" w:hAnsi="宋体" w:cs="宋体"/>
                <w:b/>
                <w:szCs w:val="21"/>
              </w:rPr>
              <w:t>类别</w:t>
            </w:r>
          </w:p>
        </w:tc>
        <w:tc>
          <w:tcPr>
            <w:tcW w:w="1141" w:type="pct"/>
            <w:vAlign w:val="center"/>
          </w:tcPr>
          <w:p w14:paraId="4B2FD925">
            <w:pPr>
              <w:jc w:val="center"/>
              <w:rPr>
                <w:b/>
                <w:szCs w:val="21"/>
              </w:rPr>
            </w:pPr>
            <w:r>
              <w:rPr>
                <w:rFonts w:hint="eastAsia" w:ascii="宋体" w:hAnsi="宋体" w:cs="宋体"/>
                <w:b/>
                <w:szCs w:val="21"/>
              </w:rPr>
              <w:t>类别</w:t>
            </w:r>
          </w:p>
        </w:tc>
        <w:tc>
          <w:tcPr>
            <w:tcW w:w="544" w:type="pct"/>
            <w:vAlign w:val="center"/>
          </w:tcPr>
          <w:p w14:paraId="05AA2CCC">
            <w:pPr>
              <w:jc w:val="center"/>
              <w:rPr>
                <w:b/>
                <w:szCs w:val="21"/>
              </w:rPr>
            </w:pPr>
            <w:r>
              <w:rPr>
                <w:rFonts w:hint="eastAsia" w:ascii="宋体" w:hAnsi="宋体" w:cs="宋体"/>
                <w:b/>
                <w:szCs w:val="21"/>
              </w:rPr>
              <w:t>学分</w:t>
            </w:r>
          </w:p>
        </w:tc>
        <w:tc>
          <w:tcPr>
            <w:tcW w:w="590" w:type="pct"/>
            <w:vAlign w:val="center"/>
          </w:tcPr>
          <w:p w14:paraId="6C85451B">
            <w:pPr>
              <w:jc w:val="center"/>
              <w:rPr>
                <w:b/>
                <w:szCs w:val="21"/>
              </w:rPr>
            </w:pPr>
            <w:r>
              <w:rPr>
                <w:rFonts w:hint="eastAsia"/>
                <w:b/>
                <w:szCs w:val="21"/>
              </w:rPr>
              <w:t>学时</w:t>
            </w:r>
          </w:p>
        </w:tc>
        <w:tc>
          <w:tcPr>
            <w:tcW w:w="508" w:type="pct"/>
            <w:vAlign w:val="center"/>
          </w:tcPr>
          <w:p w14:paraId="4FB90316">
            <w:pPr>
              <w:jc w:val="center"/>
              <w:rPr>
                <w:rFonts w:hint="eastAsia" w:ascii="宋体" w:hAnsi="宋体" w:cs="宋体"/>
                <w:b/>
                <w:szCs w:val="21"/>
              </w:rPr>
            </w:pPr>
            <w:r>
              <w:rPr>
                <w:rFonts w:hint="eastAsia" w:ascii="宋体" w:hAnsi="宋体" w:cs="宋体"/>
                <w:b/>
                <w:szCs w:val="21"/>
              </w:rPr>
              <w:t>理论</w:t>
            </w:r>
          </w:p>
          <w:p w14:paraId="07B83A96">
            <w:pPr>
              <w:jc w:val="center"/>
              <w:rPr>
                <w:b/>
                <w:szCs w:val="21"/>
              </w:rPr>
            </w:pPr>
            <w:r>
              <w:rPr>
                <w:rFonts w:hint="eastAsia" w:ascii="宋体" w:hAnsi="宋体" w:cs="宋体"/>
                <w:b/>
                <w:szCs w:val="21"/>
              </w:rPr>
              <w:t>学时</w:t>
            </w:r>
          </w:p>
        </w:tc>
        <w:tc>
          <w:tcPr>
            <w:tcW w:w="534" w:type="pct"/>
            <w:vAlign w:val="center"/>
          </w:tcPr>
          <w:p w14:paraId="41AC4CEE">
            <w:pPr>
              <w:jc w:val="center"/>
              <w:rPr>
                <w:b/>
                <w:szCs w:val="21"/>
              </w:rPr>
            </w:pPr>
            <w:r>
              <w:rPr>
                <w:rFonts w:hint="eastAsia"/>
                <w:b/>
                <w:szCs w:val="21"/>
              </w:rPr>
              <w:t>实践</w:t>
            </w:r>
          </w:p>
          <w:p w14:paraId="0A102865">
            <w:pPr>
              <w:jc w:val="center"/>
              <w:rPr>
                <w:b/>
                <w:szCs w:val="21"/>
              </w:rPr>
            </w:pPr>
            <w:r>
              <w:rPr>
                <w:rFonts w:hint="eastAsia"/>
                <w:b/>
                <w:szCs w:val="21"/>
              </w:rPr>
              <w:t>学时</w:t>
            </w:r>
          </w:p>
        </w:tc>
        <w:tc>
          <w:tcPr>
            <w:tcW w:w="1111" w:type="pct"/>
            <w:vAlign w:val="center"/>
          </w:tcPr>
          <w:p w14:paraId="28EA6DAE">
            <w:pPr>
              <w:jc w:val="center"/>
              <w:rPr>
                <w:rFonts w:hint="eastAsia" w:ascii="宋体" w:hAnsi="宋体" w:cs="宋体"/>
                <w:b/>
                <w:szCs w:val="21"/>
              </w:rPr>
            </w:pPr>
            <w:r>
              <w:rPr>
                <w:rFonts w:hint="eastAsia" w:ascii="宋体" w:hAnsi="宋体" w:cs="宋体"/>
                <w:b/>
                <w:szCs w:val="21"/>
              </w:rPr>
              <w:t>学时占</w:t>
            </w:r>
          </w:p>
          <w:p w14:paraId="447E6E86">
            <w:pPr>
              <w:jc w:val="center"/>
              <w:rPr>
                <w:b/>
                <w:szCs w:val="21"/>
              </w:rPr>
            </w:pPr>
            <w:r>
              <w:rPr>
                <w:rFonts w:hint="eastAsia" w:ascii="宋体" w:hAnsi="宋体" w:cs="宋体"/>
                <w:b/>
                <w:szCs w:val="21"/>
              </w:rPr>
              <w:t>总学时比例%</w:t>
            </w:r>
          </w:p>
        </w:tc>
      </w:tr>
      <w:tr w14:paraId="7533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restart"/>
            <w:vAlign w:val="center"/>
          </w:tcPr>
          <w:p w14:paraId="0878846B">
            <w:pPr>
              <w:jc w:val="center"/>
              <w:rPr>
                <w:szCs w:val="21"/>
              </w:rPr>
            </w:pPr>
            <w:r>
              <w:rPr>
                <w:rFonts w:hint="eastAsia" w:ascii="宋体" w:hAnsi="宋体" w:cs="宋体"/>
                <w:szCs w:val="21"/>
              </w:rPr>
              <w:t>必修课</w:t>
            </w:r>
          </w:p>
        </w:tc>
        <w:tc>
          <w:tcPr>
            <w:tcW w:w="1141" w:type="pct"/>
            <w:vAlign w:val="center"/>
          </w:tcPr>
          <w:p w14:paraId="127CA230">
            <w:pPr>
              <w:rPr>
                <w:szCs w:val="21"/>
              </w:rPr>
            </w:pPr>
            <w:r>
              <w:rPr>
                <w:rFonts w:hint="eastAsia" w:ascii="宋体" w:hAnsi="宋体" w:cs="宋体"/>
                <w:szCs w:val="21"/>
              </w:rPr>
              <w:t>文化素养课程平台</w:t>
            </w:r>
          </w:p>
        </w:tc>
        <w:tc>
          <w:tcPr>
            <w:tcW w:w="544" w:type="pct"/>
            <w:vAlign w:val="center"/>
          </w:tcPr>
          <w:p w14:paraId="5266D072">
            <w:pPr>
              <w:jc w:val="center"/>
              <w:rPr>
                <w:rFonts w:hint="eastAsia" w:ascii="宋体" w:hAnsi="宋体" w:eastAsia="宋体"/>
                <w:szCs w:val="21"/>
                <w:lang w:eastAsia="zh-CN"/>
              </w:rPr>
            </w:pPr>
            <w:r>
              <w:rPr>
                <w:rFonts w:hint="eastAsia" w:ascii="宋体" w:hAnsi="宋体"/>
                <w:szCs w:val="21"/>
              </w:rPr>
              <w:t>4</w:t>
            </w:r>
            <w:r>
              <w:rPr>
                <w:rFonts w:hint="eastAsia" w:ascii="宋体" w:hAnsi="宋体"/>
                <w:szCs w:val="21"/>
                <w:lang w:val="en-US" w:eastAsia="zh-CN"/>
              </w:rPr>
              <w:t>8</w:t>
            </w:r>
          </w:p>
        </w:tc>
        <w:tc>
          <w:tcPr>
            <w:tcW w:w="590" w:type="pct"/>
            <w:vAlign w:val="center"/>
          </w:tcPr>
          <w:p w14:paraId="4D578A6B">
            <w:pPr>
              <w:jc w:val="center"/>
              <w:rPr>
                <w:rFonts w:hint="default" w:ascii="宋体" w:hAnsi="宋体" w:eastAsia="宋体"/>
                <w:szCs w:val="21"/>
                <w:lang w:val="en-US" w:eastAsia="zh-CN"/>
              </w:rPr>
            </w:pPr>
            <w:r>
              <w:rPr>
                <w:rFonts w:hint="eastAsia" w:ascii="宋体" w:hAnsi="宋体"/>
                <w:szCs w:val="21"/>
                <w:lang w:val="en-US" w:eastAsia="zh-CN"/>
              </w:rPr>
              <w:t>816</w:t>
            </w:r>
          </w:p>
        </w:tc>
        <w:tc>
          <w:tcPr>
            <w:tcW w:w="508" w:type="pct"/>
            <w:vAlign w:val="center"/>
          </w:tcPr>
          <w:p w14:paraId="3265FF04">
            <w:pPr>
              <w:jc w:val="center"/>
              <w:rPr>
                <w:rFonts w:hint="default" w:ascii="宋体" w:hAnsi="宋体" w:eastAsia="宋体"/>
                <w:szCs w:val="21"/>
                <w:lang w:val="en-US" w:eastAsia="zh-CN"/>
              </w:rPr>
            </w:pPr>
            <w:r>
              <w:rPr>
                <w:rFonts w:hint="eastAsia" w:ascii="宋体" w:hAnsi="宋体"/>
                <w:szCs w:val="21"/>
                <w:lang w:val="en-US" w:eastAsia="zh-CN"/>
              </w:rPr>
              <w:t>508</w:t>
            </w:r>
          </w:p>
        </w:tc>
        <w:tc>
          <w:tcPr>
            <w:tcW w:w="534" w:type="pct"/>
            <w:vAlign w:val="center"/>
          </w:tcPr>
          <w:p w14:paraId="0DF5159F">
            <w:pPr>
              <w:jc w:val="center"/>
              <w:rPr>
                <w:rFonts w:hint="eastAsia" w:ascii="宋体" w:hAnsi="宋体" w:eastAsia="宋体"/>
                <w:szCs w:val="21"/>
                <w:lang w:eastAsia="zh-CN"/>
              </w:rPr>
            </w:pPr>
            <w:r>
              <w:rPr>
                <w:rFonts w:hint="eastAsia" w:ascii="宋体" w:hAnsi="宋体"/>
                <w:szCs w:val="21"/>
              </w:rPr>
              <w:t>30</w:t>
            </w:r>
            <w:r>
              <w:rPr>
                <w:rFonts w:hint="eastAsia" w:ascii="宋体" w:hAnsi="宋体"/>
                <w:szCs w:val="21"/>
                <w:lang w:val="en-US" w:eastAsia="zh-CN"/>
              </w:rPr>
              <w:t>8</w:t>
            </w:r>
          </w:p>
        </w:tc>
        <w:tc>
          <w:tcPr>
            <w:tcW w:w="1111" w:type="pct"/>
            <w:vAlign w:val="center"/>
          </w:tcPr>
          <w:p w14:paraId="0E4B2E16">
            <w:pPr>
              <w:jc w:val="center"/>
              <w:rPr>
                <w:rFonts w:hint="default" w:ascii="宋体" w:hAnsi="宋体" w:eastAsia="宋体"/>
                <w:szCs w:val="21"/>
                <w:lang w:val="en-US" w:eastAsia="zh-CN"/>
              </w:rPr>
            </w:pPr>
            <w:r>
              <w:rPr>
                <w:rFonts w:hint="eastAsia" w:ascii="宋体" w:hAnsi="宋体"/>
                <w:szCs w:val="21"/>
                <w:lang w:val="en-US" w:eastAsia="zh-CN"/>
              </w:rPr>
              <w:t>30.6%</w:t>
            </w:r>
          </w:p>
        </w:tc>
      </w:tr>
      <w:tr w14:paraId="316D8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continue"/>
            <w:vAlign w:val="center"/>
          </w:tcPr>
          <w:p w14:paraId="5B83713D">
            <w:pPr>
              <w:rPr>
                <w:szCs w:val="21"/>
              </w:rPr>
            </w:pPr>
          </w:p>
        </w:tc>
        <w:tc>
          <w:tcPr>
            <w:tcW w:w="1141" w:type="pct"/>
            <w:vAlign w:val="center"/>
          </w:tcPr>
          <w:p w14:paraId="5C9C1CAE">
            <w:pPr>
              <w:rPr>
                <w:szCs w:val="21"/>
              </w:rPr>
            </w:pPr>
            <w:r>
              <w:rPr>
                <w:rFonts w:hint="eastAsia" w:cs="宋体"/>
                <w:szCs w:val="21"/>
              </w:rPr>
              <w:t>专业群课程平台</w:t>
            </w:r>
          </w:p>
        </w:tc>
        <w:tc>
          <w:tcPr>
            <w:tcW w:w="544" w:type="pct"/>
            <w:vAlign w:val="center"/>
          </w:tcPr>
          <w:p w14:paraId="6C053226">
            <w:pPr>
              <w:jc w:val="center"/>
              <w:rPr>
                <w:rFonts w:hint="eastAsia" w:ascii="宋体" w:hAnsi="宋体"/>
                <w:szCs w:val="21"/>
              </w:rPr>
            </w:pPr>
            <w:r>
              <w:rPr>
                <w:rFonts w:hint="eastAsia" w:ascii="宋体" w:hAnsi="宋体"/>
                <w:szCs w:val="21"/>
              </w:rPr>
              <w:t>24</w:t>
            </w:r>
          </w:p>
        </w:tc>
        <w:tc>
          <w:tcPr>
            <w:tcW w:w="590" w:type="pct"/>
            <w:vAlign w:val="center"/>
          </w:tcPr>
          <w:p w14:paraId="1E61CE13">
            <w:pPr>
              <w:jc w:val="center"/>
              <w:rPr>
                <w:rFonts w:hint="eastAsia" w:ascii="宋体" w:hAnsi="宋体"/>
                <w:szCs w:val="21"/>
              </w:rPr>
            </w:pPr>
            <w:r>
              <w:rPr>
                <w:rFonts w:hint="eastAsia" w:ascii="宋体" w:hAnsi="宋体"/>
                <w:szCs w:val="21"/>
              </w:rPr>
              <w:t>384</w:t>
            </w:r>
          </w:p>
        </w:tc>
        <w:tc>
          <w:tcPr>
            <w:tcW w:w="508" w:type="pct"/>
            <w:vAlign w:val="center"/>
          </w:tcPr>
          <w:p w14:paraId="292B6288">
            <w:pPr>
              <w:jc w:val="center"/>
              <w:rPr>
                <w:rFonts w:hint="default" w:ascii="宋体" w:hAnsi="宋体" w:eastAsia="宋体"/>
                <w:szCs w:val="21"/>
                <w:lang w:val="en-US" w:eastAsia="zh-CN"/>
              </w:rPr>
            </w:pPr>
            <w:r>
              <w:rPr>
                <w:rFonts w:hint="eastAsia" w:ascii="宋体" w:hAnsi="宋体"/>
                <w:szCs w:val="21"/>
                <w:lang w:val="en-US" w:eastAsia="zh-CN"/>
              </w:rPr>
              <w:t>240</w:t>
            </w:r>
          </w:p>
        </w:tc>
        <w:tc>
          <w:tcPr>
            <w:tcW w:w="534" w:type="pct"/>
            <w:vAlign w:val="center"/>
          </w:tcPr>
          <w:p w14:paraId="006FB4A8">
            <w:pPr>
              <w:jc w:val="center"/>
              <w:rPr>
                <w:rFonts w:hint="default" w:ascii="宋体" w:hAnsi="宋体" w:eastAsia="宋体"/>
                <w:szCs w:val="21"/>
                <w:lang w:val="en-US" w:eastAsia="zh-CN"/>
              </w:rPr>
            </w:pPr>
            <w:r>
              <w:rPr>
                <w:rFonts w:hint="eastAsia" w:ascii="宋体" w:hAnsi="宋体"/>
                <w:szCs w:val="21"/>
                <w:lang w:val="en-US" w:eastAsia="zh-CN"/>
              </w:rPr>
              <w:t>144</w:t>
            </w:r>
          </w:p>
        </w:tc>
        <w:tc>
          <w:tcPr>
            <w:tcW w:w="1111" w:type="pct"/>
            <w:vAlign w:val="center"/>
          </w:tcPr>
          <w:p w14:paraId="58723BD0">
            <w:pPr>
              <w:jc w:val="center"/>
              <w:rPr>
                <w:rFonts w:hint="default" w:ascii="宋体" w:hAnsi="宋体" w:eastAsia="宋体"/>
                <w:szCs w:val="21"/>
                <w:lang w:val="en-US" w:eastAsia="zh-CN"/>
              </w:rPr>
            </w:pPr>
            <w:r>
              <w:rPr>
                <w:rFonts w:hint="eastAsia" w:ascii="宋体" w:hAnsi="宋体"/>
                <w:szCs w:val="21"/>
                <w:lang w:val="en-US" w:eastAsia="zh-CN"/>
              </w:rPr>
              <w:t>14.4%</w:t>
            </w:r>
          </w:p>
        </w:tc>
      </w:tr>
      <w:tr w14:paraId="1872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continue"/>
            <w:vAlign w:val="center"/>
          </w:tcPr>
          <w:p w14:paraId="53366117">
            <w:pPr>
              <w:rPr>
                <w:szCs w:val="21"/>
              </w:rPr>
            </w:pPr>
          </w:p>
        </w:tc>
        <w:tc>
          <w:tcPr>
            <w:tcW w:w="1141" w:type="pct"/>
            <w:vAlign w:val="center"/>
          </w:tcPr>
          <w:p w14:paraId="683796D4">
            <w:pPr>
              <w:rPr>
                <w:szCs w:val="21"/>
              </w:rPr>
            </w:pPr>
            <w:r>
              <w:rPr>
                <w:rFonts w:hint="eastAsia" w:ascii="宋体" w:hAnsi="宋体" w:cs="宋体"/>
                <w:szCs w:val="21"/>
              </w:rPr>
              <w:t>专业核心能力课程模块</w:t>
            </w:r>
          </w:p>
        </w:tc>
        <w:tc>
          <w:tcPr>
            <w:tcW w:w="544" w:type="pct"/>
            <w:vAlign w:val="center"/>
          </w:tcPr>
          <w:p w14:paraId="37A23D4D">
            <w:pPr>
              <w:jc w:val="center"/>
              <w:rPr>
                <w:rFonts w:hint="eastAsia"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0</w:t>
            </w:r>
          </w:p>
        </w:tc>
        <w:tc>
          <w:tcPr>
            <w:tcW w:w="590" w:type="pct"/>
            <w:vAlign w:val="center"/>
          </w:tcPr>
          <w:p w14:paraId="6616773B">
            <w:pPr>
              <w:jc w:val="center"/>
              <w:rPr>
                <w:rFonts w:hint="default" w:ascii="宋体" w:hAnsi="宋体" w:eastAsia="宋体"/>
                <w:szCs w:val="21"/>
                <w:lang w:val="en-US" w:eastAsia="zh-CN"/>
              </w:rPr>
            </w:pPr>
            <w:r>
              <w:rPr>
                <w:rFonts w:hint="eastAsia" w:ascii="宋体" w:hAnsi="宋体"/>
                <w:szCs w:val="21"/>
                <w:lang w:val="en-US" w:eastAsia="zh-CN"/>
              </w:rPr>
              <w:t>480</w:t>
            </w:r>
          </w:p>
        </w:tc>
        <w:tc>
          <w:tcPr>
            <w:tcW w:w="508" w:type="pct"/>
            <w:vAlign w:val="center"/>
          </w:tcPr>
          <w:p w14:paraId="06E8FE7C">
            <w:pPr>
              <w:jc w:val="center"/>
              <w:rPr>
                <w:rFonts w:hint="default" w:ascii="宋体" w:hAnsi="宋体" w:eastAsia="宋体"/>
                <w:szCs w:val="21"/>
                <w:lang w:val="en-US" w:eastAsia="zh-CN"/>
              </w:rPr>
            </w:pPr>
            <w:r>
              <w:rPr>
                <w:rFonts w:hint="eastAsia" w:ascii="宋体" w:hAnsi="宋体"/>
                <w:szCs w:val="21"/>
                <w:lang w:val="en-US" w:eastAsia="zh-CN"/>
              </w:rPr>
              <w:t>240</w:t>
            </w:r>
          </w:p>
        </w:tc>
        <w:tc>
          <w:tcPr>
            <w:tcW w:w="534" w:type="pct"/>
            <w:vAlign w:val="center"/>
          </w:tcPr>
          <w:p w14:paraId="33778BAD">
            <w:pPr>
              <w:jc w:val="center"/>
              <w:rPr>
                <w:rFonts w:hint="default" w:ascii="宋体" w:hAnsi="宋体" w:eastAsia="宋体"/>
                <w:szCs w:val="21"/>
                <w:lang w:val="en-US" w:eastAsia="zh-CN"/>
              </w:rPr>
            </w:pPr>
            <w:r>
              <w:rPr>
                <w:rFonts w:hint="eastAsia" w:ascii="宋体" w:hAnsi="宋体"/>
                <w:szCs w:val="21"/>
                <w:lang w:val="en-US" w:eastAsia="zh-CN"/>
              </w:rPr>
              <w:t>240</w:t>
            </w:r>
          </w:p>
        </w:tc>
        <w:tc>
          <w:tcPr>
            <w:tcW w:w="1111" w:type="pct"/>
            <w:vAlign w:val="center"/>
          </w:tcPr>
          <w:p w14:paraId="0C364145">
            <w:pPr>
              <w:jc w:val="center"/>
              <w:rPr>
                <w:rFonts w:hint="default" w:ascii="宋体" w:hAnsi="宋体" w:eastAsia="宋体"/>
                <w:szCs w:val="21"/>
                <w:lang w:val="en-US" w:eastAsia="zh-CN"/>
              </w:rPr>
            </w:pPr>
            <w:r>
              <w:rPr>
                <w:rFonts w:hint="eastAsia" w:ascii="宋体" w:hAnsi="宋体"/>
                <w:szCs w:val="21"/>
                <w:lang w:val="en-US" w:eastAsia="zh-CN"/>
              </w:rPr>
              <w:t>18.0%</w:t>
            </w:r>
          </w:p>
        </w:tc>
      </w:tr>
      <w:tr w14:paraId="0661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continue"/>
            <w:vAlign w:val="center"/>
          </w:tcPr>
          <w:p w14:paraId="01F9CC84">
            <w:pPr>
              <w:rPr>
                <w:szCs w:val="21"/>
              </w:rPr>
            </w:pPr>
          </w:p>
        </w:tc>
        <w:tc>
          <w:tcPr>
            <w:tcW w:w="1141" w:type="pct"/>
            <w:vAlign w:val="center"/>
          </w:tcPr>
          <w:p w14:paraId="67279C13">
            <w:pPr>
              <w:rPr>
                <w:rFonts w:hint="eastAsia" w:ascii="宋体" w:hAnsi="宋体" w:cs="宋体"/>
                <w:szCs w:val="21"/>
              </w:rPr>
            </w:pPr>
            <w:r>
              <w:rPr>
                <w:rFonts w:hint="eastAsia" w:ascii="宋体" w:hAnsi="宋体" w:cs="宋体"/>
                <w:szCs w:val="21"/>
              </w:rPr>
              <w:t>专业实践课程</w:t>
            </w:r>
          </w:p>
        </w:tc>
        <w:tc>
          <w:tcPr>
            <w:tcW w:w="544" w:type="pct"/>
            <w:vAlign w:val="center"/>
          </w:tcPr>
          <w:p w14:paraId="759B609D">
            <w:pPr>
              <w:jc w:val="center"/>
              <w:rPr>
                <w:rFonts w:hint="eastAsia" w:ascii="宋体" w:hAnsi="宋体"/>
                <w:szCs w:val="21"/>
              </w:rPr>
            </w:pPr>
            <w:r>
              <w:rPr>
                <w:rFonts w:hint="eastAsia" w:ascii="宋体" w:hAnsi="宋体"/>
                <w:szCs w:val="21"/>
              </w:rPr>
              <w:t>25</w:t>
            </w:r>
          </w:p>
        </w:tc>
        <w:tc>
          <w:tcPr>
            <w:tcW w:w="590" w:type="pct"/>
            <w:vAlign w:val="center"/>
          </w:tcPr>
          <w:p w14:paraId="64D66477">
            <w:pPr>
              <w:jc w:val="center"/>
              <w:rPr>
                <w:rFonts w:hint="eastAsia" w:ascii="宋体" w:hAnsi="宋体" w:eastAsia="宋体"/>
                <w:szCs w:val="21"/>
                <w:lang w:val="en-US" w:eastAsia="zh-CN"/>
              </w:rPr>
            </w:pPr>
            <w:r>
              <w:rPr>
                <w:rFonts w:hint="eastAsia" w:ascii="宋体" w:hAnsi="宋体"/>
                <w:szCs w:val="21"/>
              </w:rPr>
              <w:t>70</w:t>
            </w:r>
            <w:r>
              <w:rPr>
                <w:rFonts w:hint="eastAsia" w:ascii="宋体" w:hAnsi="宋体"/>
                <w:szCs w:val="21"/>
                <w:lang w:val="en-US" w:eastAsia="zh-CN"/>
              </w:rPr>
              <w:t>2</w:t>
            </w:r>
          </w:p>
        </w:tc>
        <w:tc>
          <w:tcPr>
            <w:tcW w:w="508" w:type="pct"/>
            <w:vAlign w:val="center"/>
          </w:tcPr>
          <w:p w14:paraId="0FD905C5">
            <w:pPr>
              <w:jc w:val="center"/>
              <w:rPr>
                <w:rFonts w:hint="eastAsia" w:ascii="宋体" w:hAnsi="宋体"/>
                <w:szCs w:val="21"/>
              </w:rPr>
            </w:pPr>
            <w:r>
              <w:rPr>
                <w:rFonts w:hint="eastAsia" w:ascii="宋体" w:hAnsi="宋体"/>
                <w:szCs w:val="21"/>
              </w:rPr>
              <w:t>20</w:t>
            </w:r>
          </w:p>
        </w:tc>
        <w:tc>
          <w:tcPr>
            <w:tcW w:w="534" w:type="pct"/>
            <w:vAlign w:val="center"/>
          </w:tcPr>
          <w:p w14:paraId="13BF168F">
            <w:pPr>
              <w:jc w:val="center"/>
              <w:rPr>
                <w:rFonts w:hint="eastAsia" w:ascii="宋体" w:hAnsi="宋体" w:eastAsia="宋体"/>
                <w:szCs w:val="21"/>
                <w:lang w:val="en-US" w:eastAsia="zh-CN"/>
              </w:rPr>
            </w:pPr>
            <w:r>
              <w:rPr>
                <w:rFonts w:hint="eastAsia" w:ascii="宋体" w:hAnsi="宋体"/>
                <w:szCs w:val="21"/>
              </w:rPr>
              <w:t>68</w:t>
            </w:r>
            <w:r>
              <w:rPr>
                <w:rFonts w:hint="eastAsia" w:ascii="宋体" w:hAnsi="宋体"/>
                <w:szCs w:val="21"/>
                <w:lang w:val="en-US" w:eastAsia="zh-CN"/>
              </w:rPr>
              <w:t>2</w:t>
            </w:r>
          </w:p>
        </w:tc>
        <w:tc>
          <w:tcPr>
            <w:tcW w:w="1111" w:type="pct"/>
            <w:vAlign w:val="center"/>
          </w:tcPr>
          <w:p w14:paraId="24D12413">
            <w:pPr>
              <w:jc w:val="center"/>
              <w:rPr>
                <w:rFonts w:hint="default" w:ascii="宋体" w:hAnsi="宋体" w:eastAsia="宋体"/>
                <w:szCs w:val="21"/>
                <w:lang w:val="en-US" w:eastAsia="zh-CN"/>
              </w:rPr>
            </w:pPr>
            <w:r>
              <w:rPr>
                <w:rFonts w:hint="eastAsia" w:ascii="宋体" w:hAnsi="宋体"/>
                <w:szCs w:val="21"/>
                <w:lang w:val="en-US" w:eastAsia="zh-CN"/>
              </w:rPr>
              <w:t>26.3%</w:t>
            </w:r>
          </w:p>
        </w:tc>
      </w:tr>
      <w:tr w14:paraId="0E78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1" w:type="pct"/>
            <w:gridSpan w:val="2"/>
            <w:vAlign w:val="center"/>
          </w:tcPr>
          <w:p w14:paraId="6A9A57AD">
            <w:pPr>
              <w:jc w:val="center"/>
              <w:rPr>
                <w:szCs w:val="21"/>
              </w:rPr>
            </w:pPr>
            <w:r>
              <w:rPr>
                <w:rFonts w:hint="eastAsia" w:ascii="宋体" w:hAnsi="宋体" w:cs="宋体"/>
                <w:szCs w:val="21"/>
              </w:rPr>
              <w:t>必修课合计</w:t>
            </w:r>
          </w:p>
        </w:tc>
        <w:tc>
          <w:tcPr>
            <w:tcW w:w="544" w:type="pct"/>
            <w:vAlign w:val="center"/>
          </w:tcPr>
          <w:p w14:paraId="3E226D4D">
            <w:pPr>
              <w:jc w:val="center"/>
              <w:rPr>
                <w:rFonts w:hint="eastAsia" w:ascii="宋体" w:hAnsi="宋体"/>
                <w:szCs w:val="21"/>
              </w:rPr>
            </w:pPr>
            <w:r>
              <w:rPr>
                <w:rFonts w:hint="eastAsia" w:ascii="宋体" w:hAnsi="宋体"/>
                <w:szCs w:val="21"/>
              </w:rPr>
              <w:t>1</w:t>
            </w:r>
            <w:r>
              <w:rPr>
                <w:rFonts w:hint="eastAsia" w:ascii="宋体" w:hAnsi="宋体"/>
                <w:szCs w:val="21"/>
                <w:lang w:val="en-US" w:eastAsia="zh-CN"/>
              </w:rPr>
              <w:t>2</w:t>
            </w:r>
            <w:r>
              <w:rPr>
                <w:rFonts w:hint="eastAsia" w:ascii="宋体" w:hAnsi="宋体"/>
                <w:szCs w:val="21"/>
              </w:rPr>
              <w:t>7</w:t>
            </w:r>
          </w:p>
        </w:tc>
        <w:tc>
          <w:tcPr>
            <w:tcW w:w="590" w:type="pct"/>
            <w:vAlign w:val="center"/>
          </w:tcPr>
          <w:p w14:paraId="49C7FA90">
            <w:pPr>
              <w:jc w:val="center"/>
              <w:rPr>
                <w:rFonts w:hint="eastAsia" w:ascii="宋体" w:hAnsi="宋体" w:eastAsia="宋体"/>
                <w:szCs w:val="21"/>
                <w:lang w:val="en-US" w:eastAsia="zh-CN"/>
              </w:rPr>
            </w:pPr>
            <w:r>
              <w:rPr>
                <w:rFonts w:hint="eastAsia" w:ascii="宋体" w:hAnsi="宋体"/>
                <w:szCs w:val="21"/>
              </w:rPr>
              <w:t>238</w:t>
            </w:r>
            <w:r>
              <w:rPr>
                <w:rFonts w:hint="eastAsia" w:ascii="宋体" w:hAnsi="宋体"/>
                <w:szCs w:val="21"/>
                <w:lang w:val="en-US" w:eastAsia="zh-CN"/>
              </w:rPr>
              <w:t>2</w:t>
            </w:r>
          </w:p>
        </w:tc>
        <w:tc>
          <w:tcPr>
            <w:tcW w:w="508" w:type="pct"/>
            <w:vAlign w:val="center"/>
          </w:tcPr>
          <w:p w14:paraId="17E44D1E">
            <w:pPr>
              <w:jc w:val="center"/>
              <w:rPr>
                <w:rFonts w:hint="default" w:ascii="宋体" w:hAnsi="宋体" w:eastAsia="宋体"/>
                <w:szCs w:val="21"/>
                <w:lang w:val="en-US" w:eastAsia="zh-CN"/>
              </w:rPr>
            </w:pPr>
            <w:r>
              <w:rPr>
                <w:rFonts w:hint="eastAsia" w:ascii="宋体" w:hAnsi="宋体"/>
                <w:szCs w:val="21"/>
                <w:lang w:val="en-US" w:eastAsia="zh-CN"/>
              </w:rPr>
              <w:t>1008</w:t>
            </w:r>
          </w:p>
        </w:tc>
        <w:tc>
          <w:tcPr>
            <w:tcW w:w="534" w:type="pct"/>
            <w:vAlign w:val="center"/>
          </w:tcPr>
          <w:p w14:paraId="2C6F3378">
            <w:pPr>
              <w:jc w:val="center"/>
              <w:rPr>
                <w:rFonts w:hint="default" w:ascii="宋体" w:hAnsi="宋体" w:eastAsia="宋体"/>
                <w:szCs w:val="21"/>
                <w:lang w:val="en-US" w:eastAsia="zh-CN"/>
              </w:rPr>
            </w:pPr>
            <w:r>
              <w:rPr>
                <w:rFonts w:hint="eastAsia" w:ascii="宋体" w:hAnsi="宋体"/>
                <w:szCs w:val="21"/>
                <w:lang w:val="en-US" w:eastAsia="zh-CN"/>
              </w:rPr>
              <w:t>1374</w:t>
            </w:r>
          </w:p>
        </w:tc>
        <w:tc>
          <w:tcPr>
            <w:tcW w:w="1111" w:type="pct"/>
            <w:vAlign w:val="center"/>
          </w:tcPr>
          <w:p w14:paraId="41164594">
            <w:pPr>
              <w:jc w:val="center"/>
              <w:rPr>
                <w:rFonts w:hint="default" w:ascii="宋体" w:hAnsi="宋体" w:eastAsia="宋体"/>
                <w:szCs w:val="21"/>
                <w:lang w:val="en-US" w:eastAsia="zh-CN"/>
              </w:rPr>
            </w:pPr>
            <w:r>
              <w:rPr>
                <w:rFonts w:hint="eastAsia" w:ascii="宋体" w:hAnsi="宋体"/>
                <w:szCs w:val="21"/>
                <w:lang w:val="en-US" w:eastAsia="zh-CN"/>
              </w:rPr>
              <w:t>88.3%</w:t>
            </w:r>
          </w:p>
        </w:tc>
      </w:tr>
      <w:tr w14:paraId="0711C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restart"/>
            <w:vAlign w:val="center"/>
          </w:tcPr>
          <w:p w14:paraId="328DEA60">
            <w:pPr>
              <w:jc w:val="center"/>
              <w:rPr>
                <w:szCs w:val="21"/>
              </w:rPr>
            </w:pPr>
            <w:r>
              <w:rPr>
                <w:rFonts w:hint="eastAsia" w:ascii="宋体" w:hAnsi="宋体" w:cs="宋体"/>
                <w:szCs w:val="21"/>
              </w:rPr>
              <w:t>选修课</w:t>
            </w:r>
          </w:p>
        </w:tc>
        <w:tc>
          <w:tcPr>
            <w:tcW w:w="1141" w:type="pct"/>
            <w:vAlign w:val="center"/>
          </w:tcPr>
          <w:p w14:paraId="096533EE">
            <w:pPr>
              <w:rPr>
                <w:szCs w:val="21"/>
              </w:rPr>
            </w:pPr>
            <w:r>
              <w:rPr>
                <w:rFonts w:hint="eastAsia" w:ascii="宋体" w:hAnsi="宋体" w:cs="宋体"/>
                <w:szCs w:val="21"/>
              </w:rPr>
              <w:t>素质能力选修课程平台</w:t>
            </w:r>
          </w:p>
        </w:tc>
        <w:tc>
          <w:tcPr>
            <w:tcW w:w="544" w:type="pct"/>
            <w:vAlign w:val="center"/>
          </w:tcPr>
          <w:p w14:paraId="0A85D6C7">
            <w:pPr>
              <w:jc w:val="center"/>
              <w:rPr>
                <w:rFonts w:hint="eastAsia" w:ascii="宋体" w:hAnsi="宋体"/>
                <w:szCs w:val="21"/>
              </w:rPr>
            </w:pPr>
            <w:r>
              <w:rPr>
                <w:rFonts w:hint="eastAsia" w:ascii="宋体" w:hAnsi="宋体"/>
                <w:szCs w:val="21"/>
              </w:rPr>
              <w:t>8</w:t>
            </w:r>
          </w:p>
        </w:tc>
        <w:tc>
          <w:tcPr>
            <w:tcW w:w="590" w:type="pct"/>
            <w:vAlign w:val="center"/>
          </w:tcPr>
          <w:p w14:paraId="4B8D554D">
            <w:pPr>
              <w:jc w:val="center"/>
              <w:rPr>
                <w:rFonts w:hint="eastAsia" w:ascii="宋体" w:hAnsi="宋体"/>
                <w:szCs w:val="21"/>
              </w:rPr>
            </w:pPr>
            <w:r>
              <w:rPr>
                <w:rFonts w:hint="eastAsia" w:ascii="宋体" w:hAnsi="宋体"/>
                <w:szCs w:val="21"/>
              </w:rPr>
              <w:t>128</w:t>
            </w:r>
          </w:p>
        </w:tc>
        <w:tc>
          <w:tcPr>
            <w:tcW w:w="508" w:type="pct"/>
            <w:vAlign w:val="center"/>
          </w:tcPr>
          <w:p w14:paraId="080E4FFB">
            <w:pPr>
              <w:jc w:val="center"/>
              <w:rPr>
                <w:rFonts w:hint="eastAsia" w:ascii="宋体" w:hAnsi="宋体"/>
                <w:szCs w:val="21"/>
              </w:rPr>
            </w:pPr>
            <w:r>
              <w:rPr>
                <w:rFonts w:hint="eastAsia" w:ascii="宋体" w:hAnsi="宋体"/>
                <w:szCs w:val="21"/>
              </w:rPr>
              <w:t>96</w:t>
            </w:r>
          </w:p>
        </w:tc>
        <w:tc>
          <w:tcPr>
            <w:tcW w:w="534" w:type="pct"/>
            <w:vAlign w:val="center"/>
          </w:tcPr>
          <w:p w14:paraId="281EFDF7">
            <w:pPr>
              <w:jc w:val="center"/>
              <w:rPr>
                <w:rFonts w:hint="eastAsia" w:ascii="宋体" w:hAnsi="宋体"/>
                <w:szCs w:val="21"/>
              </w:rPr>
            </w:pPr>
            <w:r>
              <w:rPr>
                <w:rFonts w:hint="eastAsia" w:ascii="宋体" w:hAnsi="宋体"/>
                <w:szCs w:val="21"/>
              </w:rPr>
              <w:t>32</w:t>
            </w:r>
          </w:p>
        </w:tc>
        <w:tc>
          <w:tcPr>
            <w:tcW w:w="1111" w:type="pct"/>
            <w:vAlign w:val="center"/>
          </w:tcPr>
          <w:p w14:paraId="4801C5E5">
            <w:pPr>
              <w:ind w:firstLine="630" w:firstLineChars="300"/>
              <w:rPr>
                <w:rFonts w:hint="default" w:ascii="宋体" w:hAnsi="宋体" w:eastAsia="宋体"/>
                <w:szCs w:val="21"/>
                <w:lang w:val="en-US" w:eastAsia="zh-CN"/>
              </w:rPr>
            </w:pPr>
            <w:r>
              <w:rPr>
                <w:rFonts w:hint="eastAsia" w:ascii="宋体" w:hAnsi="宋体"/>
                <w:szCs w:val="21"/>
                <w:lang w:val="en-US" w:eastAsia="zh-CN"/>
              </w:rPr>
              <w:t>4.8%</w:t>
            </w:r>
          </w:p>
        </w:tc>
      </w:tr>
      <w:tr w14:paraId="19EEC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9" w:type="pct"/>
            <w:vMerge w:val="continue"/>
            <w:vAlign w:val="center"/>
          </w:tcPr>
          <w:p w14:paraId="4F47867D">
            <w:pPr>
              <w:rPr>
                <w:szCs w:val="21"/>
              </w:rPr>
            </w:pPr>
          </w:p>
        </w:tc>
        <w:tc>
          <w:tcPr>
            <w:tcW w:w="1141" w:type="pct"/>
            <w:vAlign w:val="center"/>
          </w:tcPr>
          <w:p w14:paraId="05FF5AA1">
            <w:pPr>
              <w:rPr>
                <w:szCs w:val="21"/>
              </w:rPr>
            </w:pPr>
            <w:r>
              <w:rPr>
                <w:rFonts w:hint="eastAsia" w:cs="宋体"/>
                <w:szCs w:val="21"/>
              </w:rPr>
              <w:t>专业拓展选修课程模块</w:t>
            </w:r>
          </w:p>
        </w:tc>
        <w:tc>
          <w:tcPr>
            <w:tcW w:w="544" w:type="pct"/>
            <w:vAlign w:val="center"/>
          </w:tcPr>
          <w:p w14:paraId="30449793">
            <w:pPr>
              <w:jc w:val="center"/>
              <w:rPr>
                <w:rFonts w:hint="eastAsia" w:ascii="宋体" w:hAnsi="宋体"/>
                <w:szCs w:val="21"/>
              </w:rPr>
            </w:pPr>
            <w:r>
              <w:rPr>
                <w:rFonts w:hint="eastAsia" w:ascii="宋体" w:hAnsi="宋体"/>
                <w:szCs w:val="21"/>
              </w:rPr>
              <w:t>10</w:t>
            </w:r>
          </w:p>
        </w:tc>
        <w:tc>
          <w:tcPr>
            <w:tcW w:w="590" w:type="pct"/>
            <w:vAlign w:val="center"/>
          </w:tcPr>
          <w:p w14:paraId="5277A803">
            <w:pPr>
              <w:jc w:val="center"/>
              <w:rPr>
                <w:rFonts w:hint="eastAsia" w:ascii="宋体" w:hAnsi="宋体"/>
                <w:szCs w:val="21"/>
              </w:rPr>
            </w:pPr>
            <w:r>
              <w:rPr>
                <w:rFonts w:hint="eastAsia" w:ascii="宋体" w:hAnsi="宋体"/>
                <w:szCs w:val="21"/>
              </w:rPr>
              <w:t>160</w:t>
            </w:r>
          </w:p>
        </w:tc>
        <w:tc>
          <w:tcPr>
            <w:tcW w:w="508" w:type="pct"/>
            <w:vAlign w:val="center"/>
          </w:tcPr>
          <w:p w14:paraId="53754B1D">
            <w:pPr>
              <w:jc w:val="center"/>
              <w:rPr>
                <w:rFonts w:hint="default" w:ascii="宋体" w:hAnsi="宋体" w:eastAsia="宋体"/>
                <w:szCs w:val="21"/>
                <w:lang w:val="en-US" w:eastAsia="zh-CN"/>
              </w:rPr>
            </w:pPr>
            <w:r>
              <w:rPr>
                <w:rFonts w:hint="eastAsia" w:ascii="宋体" w:hAnsi="宋体"/>
                <w:szCs w:val="21"/>
                <w:lang w:val="en-US" w:eastAsia="zh-CN"/>
              </w:rPr>
              <w:t>120</w:t>
            </w:r>
          </w:p>
        </w:tc>
        <w:tc>
          <w:tcPr>
            <w:tcW w:w="534" w:type="pct"/>
            <w:vAlign w:val="center"/>
          </w:tcPr>
          <w:p w14:paraId="55CF7113">
            <w:pPr>
              <w:jc w:val="center"/>
              <w:rPr>
                <w:rFonts w:hint="default" w:ascii="宋体" w:hAnsi="宋体" w:eastAsia="宋体"/>
                <w:szCs w:val="21"/>
                <w:lang w:val="en-US" w:eastAsia="zh-CN"/>
              </w:rPr>
            </w:pPr>
            <w:r>
              <w:rPr>
                <w:rFonts w:hint="eastAsia" w:ascii="宋体" w:hAnsi="宋体"/>
                <w:szCs w:val="21"/>
                <w:lang w:val="en-US" w:eastAsia="zh-CN"/>
              </w:rPr>
              <w:t>40</w:t>
            </w:r>
          </w:p>
        </w:tc>
        <w:tc>
          <w:tcPr>
            <w:tcW w:w="1111" w:type="pct"/>
            <w:vAlign w:val="center"/>
          </w:tcPr>
          <w:p w14:paraId="1231C211">
            <w:pPr>
              <w:jc w:val="center"/>
              <w:rPr>
                <w:rFonts w:hint="default" w:ascii="宋体" w:hAnsi="宋体" w:eastAsia="宋体"/>
                <w:szCs w:val="21"/>
                <w:lang w:val="en-US" w:eastAsia="zh-CN"/>
              </w:rPr>
            </w:pPr>
            <w:r>
              <w:rPr>
                <w:rFonts w:hint="eastAsia" w:ascii="宋体" w:hAnsi="宋体"/>
                <w:szCs w:val="21"/>
                <w:lang w:val="en-US" w:eastAsia="zh-CN"/>
              </w:rPr>
              <w:t>6.0%</w:t>
            </w:r>
          </w:p>
        </w:tc>
      </w:tr>
      <w:tr w14:paraId="5A982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11" w:type="pct"/>
            <w:gridSpan w:val="2"/>
            <w:vAlign w:val="center"/>
          </w:tcPr>
          <w:p w14:paraId="78BC31A9">
            <w:pPr>
              <w:jc w:val="center"/>
              <w:rPr>
                <w:szCs w:val="21"/>
              </w:rPr>
            </w:pPr>
            <w:r>
              <w:rPr>
                <w:rFonts w:hint="eastAsia" w:ascii="宋体" w:hAnsi="宋体" w:cs="宋体"/>
                <w:szCs w:val="21"/>
              </w:rPr>
              <w:t>选修课合计</w:t>
            </w:r>
          </w:p>
        </w:tc>
        <w:tc>
          <w:tcPr>
            <w:tcW w:w="544" w:type="pct"/>
            <w:vAlign w:val="center"/>
          </w:tcPr>
          <w:p w14:paraId="66CA2098">
            <w:pPr>
              <w:jc w:val="center"/>
              <w:rPr>
                <w:rFonts w:hint="eastAsia" w:ascii="宋体" w:hAnsi="宋体"/>
                <w:szCs w:val="21"/>
              </w:rPr>
            </w:pPr>
            <w:r>
              <w:rPr>
                <w:rFonts w:ascii="宋体" w:hAnsi="宋体"/>
                <w:szCs w:val="21"/>
              </w:rPr>
              <w:t>18</w:t>
            </w:r>
          </w:p>
        </w:tc>
        <w:tc>
          <w:tcPr>
            <w:tcW w:w="590" w:type="pct"/>
            <w:vAlign w:val="center"/>
          </w:tcPr>
          <w:p w14:paraId="73515F53">
            <w:pPr>
              <w:jc w:val="center"/>
              <w:rPr>
                <w:rFonts w:hint="eastAsia" w:ascii="宋体" w:hAnsi="宋体"/>
                <w:szCs w:val="21"/>
              </w:rPr>
            </w:pPr>
            <w:r>
              <w:rPr>
                <w:rFonts w:ascii="宋体" w:hAnsi="宋体"/>
                <w:szCs w:val="21"/>
              </w:rPr>
              <w:t>288</w:t>
            </w:r>
          </w:p>
        </w:tc>
        <w:tc>
          <w:tcPr>
            <w:tcW w:w="508" w:type="pct"/>
            <w:vAlign w:val="center"/>
          </w:tcPr>
          <w:p w14:paraId="13C2F9E0">
            <w:pPr>
              <w:jc w:val="center"/>
              <w:rPr>
                <w:rFonts w:hint="default" w:ascii="宋体" w:hAnsi="宋体" w:eastAsia="宋体"/>
                <w:szCs w:val="21"/>
                <w:lang w:val="en-US" w:eastAsia="zh-CN"/>
              </w:rPr>
            </w:pPr>
            <w:r>
              <w:rPr>
                <w:rFonts w:hint="eastAsia" w:ascii="宋体" w:hAnsi="宋体"/>
                <w:szCs w:val="21"/>
                <w:lang w:val="en-US" w:eastAsia="zh-CN"/>
              </w:rPr>
              <w:t>216</w:t>
            </w:r>
          </w:p>
        </w:tc>
        <w:tc>
          <w:tcPr>
            <w:tcW w:w="534" w:type="pct"/>
            <w:vAlign w:val="center"/>
          </w:tcPr>
          <w:p w14:paraId="39F8D0A1">
            <w:pPr>
              <w:jc w:val="center"/>
              <w:rPr>
                <w:rFonts w:hint="default" w:ascii="宋体" w:hAnsi="宋体" w:eastAsia="宋体"/>
                <w:szCs w:val="21"/>
                <w:lang w:val="en-US" w:eastAsia="zh-CN"/>
              </w:rPr>
            </w:pPr>
            <w:r>
              <w:rPr>
                <w:rFonts w:hint="eastAsia" w:ascii="宋体" w:hAnsi="宋体"/>
                <w:szCs w:val="21"/>
                <w:lang w:val="en-US" w:eastAsia="zh-CN"/>
              </w:rPr>
              <w:t>72</w:t>
            </w:r>
          </w:p>
        </w:tc>
        <w:tc>
          <w:tcPr>
            <w:tcW w:w="1111" w:type="pct"/>
            <w:vAlign w:val="center"/>
          </w:tcPr>
          <w:p w14:paraId="19688A8E">
            <w:pPr>
              <w:jc w:val="center"/>
              <w:rPr>
                <w:rFonts w:hint="default" w:ascii="宋体" w:hAnsi="宋体" w:eastAsia="宋体"/>
                <w:szCs w:val="21"/>
                <w:lang w:val="en-US" w:eastAsia="zh-CN"/>
              </w:rPr>
            </w:pPr>
            <w:r>
              <w:rPr>
                <w:rFonts w:hint="eastAsia" w:ascii="宋体" w:hAnsi="宋体"/>
                <w:szCs w:val="21"/>
                <w:lang w:val="en-US" w:eastAsia="zh-CN"/>
              </w:rPr>
              <w:t>10.8%</w:t>
            </w:r>
          </w:p>
        </w:tc>
      </w:tr>
      <w:tr w14:paraId="05BC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1" w:type="pct"/>
            <w:gridSpan w:val="2"/>
            <w:vMerge w:val="restart"/>
            <w:vAlign w:val="center"/>
          </w:tcPr>
          <w:p w14:paraId="1A886A80">
            <w:pPr>
              <w:jc w:val="center"/>
              <w:rPr>
                <w:rFonts w:hint="eastAsia" w:ascii="宋体" w:hAnsi="宋体" w:cs="宋体"/>
                <w:szCs w:val="21"/>
              </w:rPr>
            </w:pPr>
            <w:r>
              <w:rPr>
                <w:rFonts w:hint="eastAsia" w:ascii="宋体" w:hAnsi="宋体" w:cs="宋体"/>
                <w:szCs w:val="21"/>
              </w:rPr>
              <w:t>总计</w:t>
            </w:r>
          </w:p>
        </w:tc>
        <w:tc>
          <w:tcPr>
            <w:tcW w:w="544" w:type="pct"/>
            <w:vMerge w:val="restart"/>
            <w:vAlign w:val="center"/>
          </w:tcPr>
          <w:p w14:paraId="7E6A7FD8">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145</w:t>
            </w:r>
          </w:p>
        </w:tc>
        <w:tc>
          <w:tcPr>
            <w:tcW w:w="590" w:type="pct"/>
            <w:vMerge w:val="restart"/>
            <w:vAlign w:val="center"/>
          </w:tcPr>
          <w:p w14:paraId="56B78F62">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2670</w:t>
            </w:r>
          </w:p>
        </w:tc>
        <w:tc>
          <w:tcPr>
            <w:tcW w:w="508" w:type="pct"/>
            <w:vMerge w:val="restart"/>
            <w:vAlign w:val="center"/>
          </w:tcPr>
          <w:p w14:paraId="5B047DA3">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1224</w:t>
            </w:r>
          </w:p>
        </w:tc>
        <w:tc>
          <w:tcPr>
            <w:tcW w:w="534" w:type="pct"/>
            <w:vMerge w:val="restart"/>
            <w:vAlign w:val="center"/>
          </w:tcPr>
          <w:p w14:paraId="5654CAA7">
            <w:pPr>
              <w:jc w:val="center"/>
              <w:rPr>
                <w:rFonts w:hint="default" w:ascii="新宋体" w:hAnsi="新宋体" w:eastAsia="新宋体"/>
                <w:szCs w:val="21"/>
                <w:lang w:val="en-US" w:eastAsia="zh-CN"/>
              </w:rPr>
            </w:pPr>
            <w:r>
              <w:rPr>
                <w:rFonts w:hint="eastAsia" w:ascii="新宋体" w:hAnsi="新宋体" w:eastAsia="新宋体"/>
                <w:szCs w:val="21"/>
                <w:lang w:val="en-US" w:eastAsia="zh-CN"/>
              </w:rPr>
              <w:t>1446</w:t>
            </w:r>
          </w:p>
        </w:tc>
        <w:tc>
          <w:tcPr>
            <w:tcW w:w="1111" w:type="pct"/>
            <w:vAlign w:val="center"/>
          </w:tcPr>
          <w:p w14:paraId="0DEF4CDA">
            <w:pPr>
              <w:spacing w:line="240" w:lineRule="atLeast"/>
              <w:jc w:val="center"/>
              <w:rPr>
                <w:szCs w:val="21"/>
              </w:rPr>
            </w:pPr>
            <w:r>
              <w:rPr>
                <w:rFonts w:hint="eastAsia"/>
                <w:szCs w:val="21"/>
              </w:rPr>
              <w:t>实践学时占</w:t>
            </w:r>
          </w:p>
          <w:p w14:paraId="3063F50D">
            <w:pPr>
              <w:spacing w:line="240" w:lineRule="atLeast"/>
              <w:jc w:val="center"/>
              <w:rPr>
                <w:szCs w:val="21"/>
              </w:rPr>
            </w:pPr>
            <w:r>
              <w:rPr>
                <w:rFonts w:hint="eastAsia"/>
                <w:szCs w:val="21"/>
              </w:rPr>
              <w:t>总课时比例</w:t>
            </w:r>
          </w:p>
        </w:tc>
      </w:tr>
      <w:tr w14:paraId="0F06F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11" w:type="pct"/>
            <w:gridSpan w:val="2"/>
            <w:vMerge w:val="continue"/>
            <w:vAlign w:val="center"/>
          </w:tcPr>
          <w:p w14:paraId="3818541F">
            <w:pPr>
              <w:jc w:val="center"/>
              <w:rPr>
                <w:rFonts w:hint="eastAsia" w:ascii="宋体" w:hAnsi="宋体" w:cs="宋体"/>
                <w:szCs w:val="21"/>
              </w:rPr>
            </w:pPr>
          </w:p>
        </w:tc>
        <w:tc>
          <w:tcPr>
            <w:tcW w:w="544" w:type="pct"/>
            <w:vMerge w:val="continue"/>
            <w:vAlign w:val="center"/>
          </w:tcPr>
          <w:p w14:paraId="186001C1">
            <w:pPr>
              <w:jc w:val="center"/>
              <w:rPr>
                <w:szCs w:val="21"/>
              </w:rPr>
            </w:pPr>
          </w:p>
        </w:tc>
        <w:tc>
          <w:tcPr>
            <w:tcW w:w="590" w:type="pct"/>
            <w:vMerge w:val="continue"/>
            <w:vAlign w:val="center"/>
          </w:tcPr>
          <w:p w14:paraId="36301072">
            <w:pPr>
              <w:jc w:val="center"/>
              <w:rPr>
                <w:szCs w:val="21"/>
              </w:rPr>
            </w:pPr>
          </w:p>
        </w:tc>
        <w:tc>
          <w:tcPr>
            <w:tcW w:w="508" w:type="pct"/>
            <w:vMerge w:val="continue"/>
            <w:vAlign w:val="center"/>
          </w:tcPr>
          <w:p w14:paraId="6CF3BC41">
            <w:pPr>
              <w:jc w:val="center"/>
              <w:rPr>
                <w:szCs w:val="21"/>
              </w:rPr>
            </w:pPr>
          </w:p>
        </w:tc>
        <w:tc>
          <w:tcPr>
            <w:tcW w:w="534" w:type="pct"/>
            <w:vMerge w:val="continue"/>
            <w:vAlign w:val="center"/>
          </w:tcPr>
          <w:p w14:paraId="5D89F775">
            <w:pPr>
              <w:jc w:val="center"/>
              <w:rPr>
                <w:szCs w:val="21"/>
              </w:rPr>
            </w:pPr>
          </w:p>
        </w:tc>
        <w:tc>
          <w:tcPr>
            <w:tcW w:w="1111" w:type="pct"/>
            <w:vAlign w:val="center"/>
          </w:tcPr>
          <w:p w14:paraId="10E7286F">
            <w:pPr>
              <w:jc w:val="center"/>
              <w:rPr>
                <w:rFonts w:hint="eastAsia" w:ascii="宋体" w:hAnsi="宋体"/>
                <w:szCs w:val="21"/>
              </w:rPr>
            </w:pPr>
            <w:r>
              <w:rPr>
                <w:rFonts w:hint="eastAsia" w:ascii="宋体" w:hAnsi="宋体"/>
                <w:szCs w:val="21"/>
              </w:rPr>
              <w:t>5</w:t>
            </w:r>
            <w:r>
              <w:rPr>
                <w:rFonts w:hint="eastAsia" w:ascii="宋体" w:hAnsi="宋体"/>
                <w:szCs w:val="21"/>
                <w:lang w:val="en-US" w:eastAsia="zh-CN"/>
              </w:rPr>
              <w:t>4.2</w:t>
            </w:r>
            <w:r>
              <w:rPr>
                <w:rFonts w:ascii="宋体" w:hAnsi="宋体"/>
                <w:szCs w:val="21"/>
              </w:rPr>
              <w:t>%</w:t>
            </w:r>
          </w:p>
        </w:tc>
      </w:tr>
    </w:tbl>
    <w:p w14:paraId="7143EC53">
      <w:pPr>
        <w:adjustRightInd w:val="0"/>
        <w:snapToGrid w:val="0"/>
        <w:spacing w:before="312" w:beforeLines="100" w:line="360" w:lineRule="auto"/>
        <w:ind w:firstLine="482" w:firstLineChars="200"/>
        <w:jc w:val="left"/>
        <w:outlineLvl w:val="1"/>
        <w:rPr>
          <w:rFonts w:hint="eastAsia" w:ascii="宋体" w:hAnsi="宋体" w:cs="Angsana New"/>
          <w:b/>
          <w:sz w:val="24"/>
          <w:szCs w:val="24"/>
          <w:lang w:bidi="th-TH"/>
        </w:rPr>
      </w:pPr>
      <w:r>
        <w:rPr>
          <w:rFonts w:hint="eastAsia" w:ascii="宋体" w:hAnsi="宋体" w:cs="Angsana New"/>
          <w:b/>
          <w:sz w:val="24"/>
          <w:szCs w:val="24"/>
          <w:lang w:bidi="th-TH"/>
        </w:rPr>
        <w:t>（三）岗课赛证融通</w:t>
      </w:r>
    </w:p>
    <w:p w14:paraId="55CE2E27">
      <w:pPr>
        <w:adjustRightInd w:val="0"/>
        <w:snapToGrid w:val="0"/>
        <w:jc w:val="center"/>
        <w:rPr>
          <w:rFonts w:hint="eastAsia" w:ascii="宋体" w:hAnsi="宋体"/>
          <w:b/>
          <w:bCs/>
          <w:kern w:val="0"/>
          <w:szCs w:val="21"/>
        </w:rPr>
      </w:pPr>
      <w:r>
        <w:rPr>
          <w:rFonts w:hint="eastAsia" w:ascii="宋体" w:hAnsi="宋体"/>
          <w:b/>
          <w:bCs/>
          <w:kern w:val="0"/>
          <w:szCs w:val="21"/>
        </w:rPr>
        <w:t>表6  岗课赛证融通对应表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6"/>
        <w:gridCol w:w="637"/>
        <w:gridCol w:w="3947"/>
        <w:gridCol w:w="2250"/>
      </w:tblGrid>
      <w:tr w14:paraId="46DEF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82" w:type="pct"/>
            <w:vAlign w:val="center"/>
          </w:tcPr>
          <w:p w14:paraId="61CD6DB3">
            <w:pPr>
              <w:pStyle w:val="4"/>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课程名称</w:t>
            </w:r>
          </w:p>
        </w:tc>
        <w:tc>
          <w:tcPr>
            <w:tcW w:w="365" w:type="pct"/>
            <w:vAlign w:val="center"/>
          </w:tcPr>
          <w:p w14:paraId="20F65C92">
            <w:pPr>
              <w:pStyle w:val="4"/>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学分</w:t>
            </w:r>
          </w:p>
        </w:tc>
        <w:tc>
          <w:tcPr>
            <w:tcW w:w="2263" w:type="pct"/>
            <w:vAlign w:val="center"/>
          </w:tcPr>
          <w:p w14:paraId="264A2023">
            <w:pPr>
              <w:pStyle w:val="4"/>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对应的赛项</w:t>
            </w:r>
          </w:p>
        </w:tc>
        <w:tc>
          <w:tcPr>
            <w:tcW w:w="1290" w:type="pct"/>
            <w:vAlign w:val="center"/>
          </w:tcPr>
          <w:p w14:paraId="04BFA30E">
            <w:pPr>
              <w:pStyle w:val="4"/>
              <w:autoSpaceDE/>
              <w:autoSpaceDN/>
              <w:adjustRightInd w:val="0"/>
              <w:snapToGrid w:val="0"/>
              <w:spacing w:line="320" w:lineRule="exact"/>
              <w:ind w:firstLine="0" w:firstLineChars="0"/>
              <w:jc w:val="center"/>
              <w:rPr>
                <w:rFonts w:hint="eastAsia" w:ascii="宋体" w:hAnsi="宋体"/>
                <w:b/>
                <w:sz w:val="21"/>
                <w:szCs w:val="21"/>
                <w:lang w:val="en-US"/>
              </w:rPr>
            </w:pPr>
            <w:r>
              <w:rPr>
                <w:rFonts w:hint="eastAsia" w:ascii="宋体" w:hAnsi="宋体"/>
                <w:b/>
                <w:sz w:val="21"/>
                <w:szCs w:val="21"/>
                <w:lang w:val="en-US"/>
              </w:rPr>
              <w:t>对应的证书</w:t>
            </w:r>
          </w:p>
        </w:tc>
      </w:tr>
      <w:tr w14:paraId="6448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729E93BE">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大数据技术在业财税融合中的应用</w:t>
            </w:r>
          </w:p>
        </w:tc>
        <w:tc>
          <w:tcPr>
            <w:tcW w:w="365" w:type="pct"/>
            <w:vAlign w:val="center"/>
          </w:tcPr>
          <w:p w14:paraId="4896DC2E">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2.5</w:t>
            </w:r>
          </w:p>
        </w:tc>
        <w:tc>
          <w:tcPr>
            <w:tcW w:w="2263" w:type="pct"/>
            <w:vAlign w:val="center"/>
          </w:tcPr>
          <w:p w14:paraId="5E89A9CD">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全国职业院校技能大赛业财税融合大数据应用赛项、一带一路暨金砖国家技能发展与技术创新大赛业财税融合赛项</w:t>
            </w:r>
          </w:p>
        </w:tc>
        <w:tc>
          <w:tcPr>
            <w:tcW w:w="1290" w:type="pct"/>
            <w:vAlign w:val="center"/>
          </w:tcPr>
          <w:p w14:paraId="6243F630">
            <w:pPr>
              <w:spacing w:line="320" w:lineRule="exact"/>
              <w:jc w:val="center"/>
              <w:rPr>
                <w:rFonts w:hint="eastAsia" w:ascii="宋体" w:hAnsi="宋体"/>
                <w:szCs w:val="21"/>
              </w:rPr>
            </w:pPr>
          </w:p>
        </w:tc>
      </w:tr>
      <w:tr w14:paraId="03BFE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49579653">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业财融合投资管理</w:t>
            </w:r>
          </w:p>
        </w:tc>
        <w:tc>
          <w:tcPr>
            <w:tcW w:w="365" w:type="pct"/>
            <w:vAlign w:val="center"/>
          </w:tcPr>
          <w:p w14:paraId="402EDD1F">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60E5C879">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全国职业院校技能大赛业财税融合大数据应用赛项、一带一路暨金砖国家技能发展与技术创新大赛业财税融合赛项</w:t>
            </w:r>
          </w:p>
        </w:tc>
        <w:tc>
          <w:tcPr>
            <w:tcW w:w="1290" w:type="pct"/>
            <w:vAlign w:val="center"/>
          </w:tcPr>
          <w:p w14:paraId="6A48BE78">
            <w:pPr>
              <w:spacing w:line="320" w:lineRule="exact"/>
              <w:jc w:val="center"/>
              <w:rPr>
                <w:rFonts w:hint="eastAsia" w:ascii="宋体" w:hAnsi="宋体"/>
                <w:szCs w:val="21"/>
              </w:rPr>
            </w:pPr>
            <w:r>
              <w:rPr>
                <w:rFonts w:hint="eastAsia" w:ascii="宋体"/>
                <w:szCs w:val="21"/>
              </w:rPr>
              <w:t>1+X业财税融合大数据投融资分析</w:t>
            </w:r>
          </w:p>
        </w:tc>
      </w:tr>
      <w:tr w14:paraId="63D7F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74EA051E">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业财融合筹资管理</w:t>
            </w:r>
          </w:p>
        </w:tc>
        <w:tc>
          <w:tcPr>
            <w:tcW w:w="365" w:type="pct"/>
            <w:vAlign w:val="center"/>
          </w:tcPr>
          <w:p w14:paraId="50D356C5">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56B49B9B">
            <w:pPr>
              <w:spacing w:line="320" w:lineRule="exact"/>
              <w:jc w:val="center"/>
              <w:rPr>
                <w:rFonts w:hint="eastAsia" w:ascii="宋体" w:hAnsi="宋体"/>
                <w:szCs w:val="21"/>
              </w:rPr>
            </w:pPr>
            <w:r>
              <w:rPr>
                <w:rFonts w:hint="eastAsia" w:ascii="宋体" w:hAnsi="宋体"/>
                <w:szCs w:val="21"/>
              </w:rPr>
              <w:t>全国职业院校技能大赛业财税融合大数据应用赛项、一带一路暨金砖国家技能发展与技术创新大赛业财税融合赛项</w:t>
            </w:r>
          </w:p>
        </w:tc>
        <w:tc>
          <w:tcPr>
            <w:tcW w:w="1290" w:type="pct"/>
            <w:vAlign w:val="center"/>
          </w:tcPr>
          <w:p w14:paraId="69C2738E">
            <w:pPr>
              <w:spacing w:line="320" w:lineRule="exact"/>
              <w:jc w:val="center"/>
              <w:rPr>
                <w:rFonts w:hint="eastAsia" w:ascii="宋体" w:hAnsi="宋体"/>
                <w:szCs w:val="21"/>
              </w:rPr>
            </w:pPr>
            <w:r>
              <w:rPr>
                <w:rFonts w:hint="eastAsia" w:ascii="宋体"/>
                <w:szCs w:val="21"/>
              </w:rPr>
              <w:t>1+X业财税融合大数据投融资分析</w:t>
            </w:r>
          </w:p>
        </w:tc>
      </w:tr>
      <w:tr w14:paraId="7422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703E09C3">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业财融合生产管理</w:t>
            </w:r>
          </w:p>
        </w:tc>
        <w:tc>
          <w:tcPr>
            <w:tcW w:w="365" w:type="pct"/>
            <w:vAlign w:val="center"/>
          </w:tcPr>
          <w:p w14:paraId="170977C0">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6143C89B">
            <w:pPr>
              <w:spacing w:line="320" w:lineRule="exact"/>
              <w:jc w:val="center"/>
              <w:rPr>
                <w:rFonts w:hint="eastAsia" w:ascii="宋体" w:hAnsi="宋体"/>
                <w:szCs w:val="21"/>
              </w:rPr>
            </w:pPr>
            <w:r>
              <w:rPr>
                <w:rFonts w:hint="eastAsia" w:ascii="宋体" w:hAnsi="宋体"/>
                <w:szCs w:val="21"/>
              </w:rPr>
              <w:t>全国职业院校技能大赛业财税融合大数据应用赛项、一带一路暨金砖国家技能发展与技术创新大赛业财税融合赛项</w:t>
            </w:r>
          </w:p>
        </w:tc>
        <w:tc>
          <w:tcPr>
            <w:tcW w:w="1290" w:type="pct"/>
            <w:vAlign w:val="center"/>
          </w:tcPr>
          <w:p w14:paraId="0073C392">
            <w:pPr>
              <w:spacing w:line="320" w:lineRule="exact"/>
              <w:jc w:val="center"/>
              <w:rPr>
                <w:rFonts w:ascii="宋体"/>
                <w:szCs w:val="21"/>
              </w:rPr>
            </w:pPr>
            <w:r>
              <w:rPr>
                <w:rFonts w:hint="eastAsia" w:ascii="宋体"/>
                <w:szCs w:val="21"/>
              </w:rPr>
              <w:t>1+X业财税融合成本管控</w:t>
            </w:r>
          </w:p>
        </w:tc>
      </w:tr>
      <w:tr w14:paraId="5CABD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663047E2">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业财融合采购管理</w:t>
            </w:r>
          </w:p>
        </w:tc>
        <w:tc>
          <w:tcPr>
            <w:tcW w:w="365" w:type="pct"/>
            <w:vAlign w:val="center"/>
          </w:tcPr>
          <w:p w14:paraId="6542A7F4">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49322956">
            <w:pPr>
              <w:spacing w:line="320" w:lineRule="exact"/>
              <w:jc w:val="center"/>
              <w:rPr>
                <w:rFonts w:hint="eastAsia" w:ascii="宋体" w:hAnsi="宋体"/>
                <w:szCs w:val="21"/>
              </w:rPr>
            </w:pPr>
            <w:r>
              <w:rPr>
                <w:rFonts w:hint="eastAsia" w:ascii="宋体" w:hAnsi="宋体"/>
                <w:szCs w:val="21"/>
              </w:rPr>
              <w:t>全国职业院校技能大赛业财税融合大数据应用赛项、一带一路暨金砖国家技能发展与技术创新大赛业财税融合赛项</w:t>
            </w:r>
          </w:p>
        </w:tc>
        <w:tc>
          <w:tcPr>
            <w:tcW w:w="1290" w:type="pct"/>
            <w:vAlign w:val="center"/>
          </w:tcPr>
          <w:p w14:paraId="24689F16">
            <w:pPr>
              <w:spacing w:line="320" w:lineRule="exact"/>
              <w:jc w:val="center"/>
              <w:rPr>
                <w:rFonts w:ascii="宋体"/>
                <w:szCs w:val="21"/>
              </w:rPr>
            </w:pPr>
            <w:r>
              <w:rPr>
                <w:rFonts w:hint="eastAsia" w:ascii="宋体"/>
                <w:szCs w:val="21"/>
              </w:rPr>
              <w:t>1+X业财税融合成本管控</w:t>
            </w:r>
          </w:p>
        </w:tc>
      </w:tr>
      <w:tr w14:paraId="7366E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474FC4BC">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 xml:space="preserve"> 会计基础</w:t>
            </w:r>
          </w:p>
        </w:tc>
        <w:tc>
          <w:tcPr>
            <w:tcW w:w="365" w:type="pct"/>
            <w:vAlign w:val="center"/>
          </w:tcPr>
          <w:p w14:paraId="5A3B45E6">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2EF56E15">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全国职业院校技能大赛会计实务赛项</w:t>
            </w:r>
          </w:p>
        </w:tc>
        <w:tc>
          <w:tcPr>
            <w:tcW w:w="1290" w:type="pct"/>
            <w:vAlign w:val="center"/>
          </w:tcPr>
          <w:p w14:paraId="188CFA31">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初级会计专业技术资格</w:t>
            </w:r>
          </w:p>
        </w:tc>
      </w:tr>
      <w:tr w14:paraId="0A7B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4D96EF34">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经济法基础</w:t>
            </w:r>
          </w:p>
        </w:tc>
        <w:tc>
          <w:tcPr>
            <w:tcW w:w="365" w:type="pct"/>
            <w:vAlign w:val="center"/>
          </w:tcPr>
          <w:p w14:paraId="326383B8">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2EC0FDEA">
            <w:pPr>
              <w:pStyle w:val="4"/>
              <w:autoSpaceDE/>
              <w:autoSpaceDN/>
              <w:adjustRightInd w:val="0"/>
              <w:snapToGrid w:val="0"/>
              <w:spacing w:line="320" w:lineRule="exact"/>
              <w:ind w:firstLine="0" w:firstLineChars="0"/>
              <w:jc w:val="center"/>
              <w:rPr>
                <w:rFonts w:hint="eastAsia" w:ascii="宋体" w:hAnsi="宋体"/>
                <w:sz w:val="21"/>
                <w:szCs w:val="21"/>
                <w:lang w:val="en-US"/>
              </w:rPr>
            </w:pPr>
          </w:p>
        </w:tc>
        <w:tc>
          <w:tcPr>
            <w:tcW w:w="1290" w:type="pct"/>
            <w:vAlign w:val="center"/>
          </w:tcPr>
          <w:p w14:paraId="3CD9CC34">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初级会计专业技术资格</w:t>
            </w:r>
          </w:p>
        </w:tc>
      </w:tr>
      <w:tr w14:paraId="7F8CD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4DAEB6FA">
            <w:pPr>
              <w:pStyle w:val="4"/>
              <w:autoSpaceDE/>
              <w:autoSpaceDN/>
              <w:adjustRightInd w:val="0"/>
              <w:snapToGrid w:val="0"/>
              <w:spacing w:line="320" w:lineRule="exact"/>
              <w:ind w:firstLine="0" w:firstLineChars="0"/>
              <w:jc w:val="center"/>
              <w:rPr>
                <w:rFonts w:hint="default" w:ascii="宋体" w:hAnsi="宋体" w:eastAsia="宋体"/>
                <w:sz w:val="21"/>
                <w:szCs w:val="21"/>
                <w:lang w:val="en-US" w:eastAsia="zh-CN"/>
              </w:rPr>
            </w:pPr>
            <w:r>
              <w:rPr>
                <w:rFonts w:hint="eastAsia" w:ascii="宋体" w:hAnsi="宋体"/>
                <w:sz w:val="21"/>
                <w:szCs w:val="21"/>
                <w:lang w:val="en-US" w:eastAsia="zh-CN"/>
              </w:rPr>
              <w:t>企业财务会计</w:t>
            </w:r>
          </w:p>
        </w:tc>
        <w:tc>
          <w:tcPr>
            <w:tcW w:w="365" w:type="pct"/>
            <w:vAlign w:val="center"/>
          </w:tcPr>
          <w:p w14:paraId="307C2AE8">
            <w:pPr>
              <w:pStyle w:val="4"/>
              <w:autoSpaceDE/>
              <w:autoSpaceDN/>
              <w:adjustRightInd w:val="0"/>
              <w:snapToGrid w:val="0"/>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eastAsia="zh-CN"/>
              </w:rPr>
              <w:t>4</w:t>
            </w:r>
          </w:p>
        </w:tc>
        <w:tc>
          <w:tcPr>
            <w:tcW w:w="2263" w:type="pct"/>
            <w:vAlign w:val="center"/>
          </w:tcPr>
          <w:p w14:paraId="4B18903E">
            <w:pPr>
              <w:pStyle w:val="4"/>
              <w:autoSpaceDE/>
              <w:autoSpaceDN/>
              <w:adjustRightInd w:val="0"/>
              <w:snapToGrid w:val="0"/>
              <w:spacing w:line="320" w:lineRule="exact"/>
              <w:ind w:firstLine="0" w:firstLineChars="0"/>
              <w:jc w:val="center"/>
              <w:rPr>
                <w:rFonts w:hint="eastAsia" w:ascii="宋体" w:hAnsi="宋体"/>
                <w:sz w:val="21"/>
                <w:szCs w:val="21"/>
                <w:lang w:val="en-US"/>
              </w:rPr>
            </w:pPr>
          </w:p>
        </w:tc>
        <w:tc>
          <w:tcPr>
            <w:tcW w:w="1290" w:type="pct"/>
            <w:vAlign w:val="center"/>
          </w:tcPr>
          <w:p w14:paraId="7D292117">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初级会计专业技术资格</w:t>
            </w:r>
          </w:p>
        </w:tc>
      </w:tr>
      <w:tr w14:paraId="0AB17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4A1BE668">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业财融合会计基础实训</w:t>
            </w:r>
          </w:p>
        </w:tc>
        <w:tc>
          <w:tcPr>
            <w:tcW w:w="365" w:type="pct"/>
            <w:vAlign w:val="center"/>
          </w:tcPr>
          <w:p w14:paraId="2B62F228">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2.5</w:t>
            </w:r>
          </w:p>
        </w:tc>
        <w:tc>
          <w:tcPr>
            <w:tcW w:w="2263" w:type="pct"/>
            <w:vAlign w:val="center"/>
          </w:tcPr>
          <w:p w14:paraId="0DF0C239">
            <w:pPr>
              <w:adjustRightInd w:val="0"/>
              <w:snapToGrid w:val="0"/>
              <w:spacing w:line="320" w:lineRule="exact"/>
              <w:jc w:val="center"/>
              <w:rPr>
                <w:rFonts w:hint="eastAsia" w:ascii="宋体" w:hAnsi="宋体" w:cs="宋体"/>
                <w:szCs w:val="21"/>
              </w:rPr>
            </w:pPr>
            <w:r>
              <w:rPr>
                <w:rFonts w:hint="eastAsia" w:ascii="宋体" w:hAnsi="宋体" w:cs="宋体"/>
                <w:kern w:val="0"/>
                <w:szCs w:val="21"/>
                <w:lang w:bidi="zh-CN"/>
              </w:rPr>
              <w:t>“立信杯”会计技能比赛（手工账）</w:t>
            </w:r>
          </w:p>
        </w:tc>
        <w:tc>
          <w:tcPr>
            <w:tcW w:w="1290" w:type="pct"/>
            <w:vAlign w:val="center"/>
          </w:tcPr>
          <w:p w14:paraId="6857C871">
            <w:pPr>
              <w:pStyle w:val="4"/>
              <w:autoSpaceDE/>
              <w:autoSpaceDN/>
              <w:adjustRightInd w:val="0"/>
              <w:snapToGrid w:val="0"/>
              <w:spacing w:line="320" w:lineRule="exact"/>
              <w:ind w:firstLine="0" w:firstLineChars="0"/>
              <w:jc w:val="center"/>
              <w:rPr>
                <w:rFonts w:hint="eastAsia" w:ascii="宋体" w:hAnsi="宋体"/>
                <w:sz w:val="21"/>
                <w:szCs w:val="21"/>
                <w:lang w:val="en-US"/>
              </w:rPr>
            </w:pPr>
          </w:p>
        </w:tc>
      </w:tr>
      <w:tr w14:paraId="1B0C1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556F9F0D">
            <w:pPr>
              <w:pStyle w:val="4"/>
              <w:autoSpaceDE/>
              <w:autoSpaceDN/>
              <w:adjustRightInd w:val="0"/>
              <w:snapToGrid w:val="0"/>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会计综合技能应用</w:t>
            </w:r>
          </w:p>
        </w:tc>
        <w:tc>
          <w:tcPr>
            <w:tcW w:w="365" w:type="pct"/>
            <w:vAlign w:val="center"/>
          </w:tcPr>
          <w:p w14:paraId="36358885">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3EC32524">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全国职业院校技能大赛财会职业能力赛项</w:t>
            </w:r>
          </w:p>
        </w:tc>
        <w:tc>
          <w:tcPr>
            <w:tcW w:w="1290" w:type="pct"/>
            <w:vAlign w:val="center"/>
          </w:tcPr>
          <w:p w14:paraId="5F74B336">
            <w:pPr>
              <w:pStyle w:val="4"/>
              <w:autoSpaceDE/>
              <w:autoSpaceDN/>
              <w:spacing w:line="320" w:lineRule="exact"/>
              <w:ind w:firstLine="0" w:firstLineChars="0"/>
              <w:jc w:val="center"/>
              <w:rPr>
                <w:rFonts w:hint="eastAsia" w:ascii="宋体" w:hAnsi="宋体"/>
                <w:sz w:val="21"/>
                <w:szCs w:val="21"/>
                <w:lang w:val="en-US"/>
              </w:rPr>
            </w:pPr>
          </w:p>
        </w:tc>
      </w:tr>
      <w:tr w14:paraId="1DD2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39C25E93">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税费申报与管理实训</w:t>
            </w:r>
          </w:p>
        </w:tc>
        <w:tc>
          <w:tcPr>
            <w:tcW w:w="365" w:type="pct"/>
            <w:vAlign w:val="center"/>
          </w:tcPr>
          <w:p w14:paraId="70B30C1C">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2.5</w:t>
            </w:r>
          </w:p>
        </w:tc>
        <w:tc>
          <w:tcPr>
            <w:tcW w:w="2263" w:type="pct"/>
            <w:vAlign w:val="center"/>
          </w:tcPr>
          <w:p w14:paraId="1FE47ECB">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“衡信杯”个税师精英挑战赛、</w:t>
            </w:r>
            <w:r>
              <w:rPr>
                <w:rFonts w:hint="eastAsia" w:ascii="黑体" w:hAnsi="黑体" w:eastAsia="黑体" w:cs="黑体"/>
                <w:sz w:val="21"/>
                <w:szCs w:val="21"/>
              </w:rPr>
              <w:t>“</w:t>
            </w:r>
            <w:r>
              <w:rPr>
                <w:rFonts w:hint="eastAsia" w:ascii="宋体" w:hAnsi="宋体"/>
                <w:sz w:val="21"/>
                <w:szCs w:val="21"/>
                <w:lang w:val="en-US"/>
              </w:rPr>
              <w:t>科云杯”税务技能大赛、“衡信杯”税务技能大赛</w:t>
            </w:r>
          </w:p>
        </w:tc>
        <w:tc>
          <w:tcPr>
            <w:tcW w:w="1290" w:type="pct"/>
            <w:vAlign w:val="center"/>
          </w:tcPr>
          <w:p w14:paraId="1BE0E586">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kern w:val="2"/>
                <w:sz w:val="21"/>
                <w:szCs w:val="21"/>
                <w:lang w:val="en-US" w:bidi="ar-SA"/>
              </w:rPr>
              <w:t xml:space="preserve">1+X个税计算 </w:t>
            </w:r>
          </w:p>
        </w:tc>
      </w:tr>
      <w:tr w14:paraId="0DF7B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blHeader/>
          <w:jc w:val="center"/>
        </w:trPr>
        <w:tc>
          <w:tcPr>
            <w:tcW w:w="1082" w:type="pct"/>
            <w:vAlign w:val="center"/>
          </w:tcPr>
          <w:p w14:paraId="1E444331">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大数据分析与可视化技术</w:t>
            </w:r>
          </w:p>
        </w:tc>
        <w:tc>
          <w:tcPr>
            <w:tcW w:w="365" w:type="pct"/>
            <w:vAlign w:val="center"/>
          </w:tcPr>
          <w:p w14:paraId="3BD27E86">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w:t>
            </w:r>
          </w:p>
        </w:tc>
        <w:tc>
          <w:tcPr>
            <w:tcW w:w="2263" w:type="pct"/>
            <w:vAlign w:val="center"/>
          </w:tcPr>
          <w:p w14:paraId="154CBEB6">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财务大数据应用能力大赛</w:t>
            </w:r>
          </w:p>
        </w:tc>
        <w:tc>
          <w:tcPr>
            <w:tcW w:w="1290" w:type="pct"/>
            <w:vAlign w:val="center"/>
          </w:tcPr>
          <w:p w14:paraId="3C3D1267">
            <w:pPr>
              <w:spacing w:line="320" w:lineRule="exact"/>
              <w:jc w:val="center"/>
              <w:rPr>
                <w:rFonts w:hint="eastAsia" w:ascii="宋体" w:hAnsi="宋体" w:cs="宋体"/>
                <w:szCs w:val="21"/>
              </w:rPr>
            </w:pPr>
            <w:r>
              <w:rPr>
                <w:rFonts w:hint="eastAsia" w:ascii="宋体" w:hAnsi="宋体" w:cs="宋体"/>
                <w:szCs w:val="21"/>
              </w:rPr>
              <w:t>1+X大数据财务分析</w:t>
            </w:r>
          </w:p>
        </w:tc>
      </w:tr>
      <w:tr w14:paraId="230A4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82" w:type="pct"/>
            <w:vAlign w:val="center"/>
          </w:tcPr>
          <w:p w14:paraId="73DE45C5">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企业经营沙盘模拟</w:t>
            </w:r>
          </w:p>
        </w:tc>
        <w:tc>
          <w:tcPr>
            <w:tcW w:w="365" w:type="pct"/>
            <w:vAlign w:val="center"/>
          </w:tcPr>
          <w:p w14:paraId="31279C77">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2</w:t>
            </w:r>
          </w:p>
        </w:tc>
        <w:tc>
          <w:tcPr>
            <w:tcW w:w="2263" w:type="pct"/>
            <w:vAlign w:val="center"/>
          </w:tcPr>
          <w:p w14:paraId="57AA4B7C">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全国职业院校技能大赛企业经营沙盘模拟赛项</w:t>
            </w:r>
          </w:p>
        </w:tc>
        <w:tc>
          <w:tcPr>
            <w:tcW w:w="1290" w:type="pct"/>
            <w:vAlign w:val="center"/>
          </w:tcPr>
          <w:p w14:paraId="3B1EAE1C">
            <w:pPr>
              <w:pStyle w:val="4"/>
              <w:autoSpaceDE/>
              <w:autoSpaceDN/>
              <w:spacing w:line="320" w:lineRule="exact"/>
              <w:ind w:firstLine="0" w:firstLineChars="0"/>
              <w:jc w:val="center"/>
              <w:rPr>
                <w:rFonts w:hint="eastAsia" w:ascii="宋体" w:hAnsi="宋体"/>
                <w:sz w:val="21"/>
                <w:szCs w:val="21"/>
              </w:rPr>
            </w:pPr>
          </w:p>
        </w:tc>
      </w:tr>
      <w:tr w14:paraId="0B4D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5D7BE8C6">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企业管理基础</w:t>
            </w:r>
          </w:p>
        </w:tc>
        <w:tc>
          <w:tcPr>
            <w:tcW w:w="365" w:type="pct"/>
            <w:vAlign w:val="center"/>
          </w:tcPr>
          <w:p w14:paraId="759DE9A4">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46192021">
            <w:pPr>
              <w:pStyle w:val="4"/>
              <w:autoSpaceDE/>
              <w:autoSpaceDN/>
              <w:spacing w:line="320" w:lineRule="exact"/>
              <w:ind w:firstLine="0" w:firstLineChars="0"/>
              <w:jc w:val="center"/>
              <w:rPr>
                <w:rFonts w:hint="eastAsia" w:ascii="宋体" w:hAnsi="宋体"/>
                <w:sz w:val="21"/>
                <w:szCs w:val="21"/>
                <w:lang w:val="en-US"/>
              </w:rPr>
            </w:pPr>
          </w:p>
        </w:tc>
        <w:tc>
          <w:tcPr>
            <w:tcW w:w="1290" w:type="pct"/>
            <w:vAlign w:val="center"/>
          </w:tcPr>
          <w:p w14:paraId="4CF26D07">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1+X企业管理咨询</w:t>
            </w:r>
          </w:p>
        </w:tc>
      </w:tr>
      <w:tr w14:paraId="4D8BD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82" w:type="pct"/>
            <w:vAlign w:val="center"/>
          </w:tcPr>
          <w:p w14:paraId="35595894">
            <w:pPr>
              <w:pStyle w:val="4"/>
              <w:autoSpaceDE/>
              <w:autoSpaceDN/>
              <w:spacing w:line="320" w:lineRule="exact"/>
              <w:ind w:firstLine="0" w:firstLineChars="0"/>
              <w:jc w:val="center"/>
              <w:rPr>
                <w:rFonts w:hint="eastAsia" w:ascii="宋体" w:hAnsi="宋体" w:eastAsia="宋体"/>
                <w:sz w:val="21"/>
                <w:szCs w:val="21"/>
                <w:lang w:val="en-US" w:eastAsia="zh-CN"/>
              </w:rPr>
            </w:pPr>
            <w:r>
              <w:rPr>
                <w:rFonts w:hint="eastAsia" w:ascii="宋体" w:hAnsi="宋体"/>
                <w:sz w:val="21"/>
                <w:szCs w:val="21"/>
                <w:lang w:val="en-US"/>
              </w:rPr>
              <w:t>经济学</w:t>
            </w:r>
            <w:r>
              <w:rPr>
                <w:rFonts w:hint="eastAsia" w:ascii="宋体" w:hAnsi="宋体"/>
                <w:sz w:val="21"/>
                <w:szCs w:val="21"/>
                <w:lang w:val="en-US" w:eastAsia="zh-CN"/>
              </w:rPr>
              <w:t>原理</w:t>
            </w:r>
          </w:p>
        </w:tc>
        <w:tc>
          <w:tcPr>
            <w:tcW w:w="365" w:type="pct"/>
            <w:vAlign w:val="center"/>
          </w:tcPr>
          <w:p w14:paraId="3FA7F9FC">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4</w:t>
            </w:r>
          </w:p>
        </w:tc>
        <w:tc>
          <w:tcPr>
            <w:tcW w:w="2263" w:type="pct"/>
            <w:vAlign w:val="center"/>
          </w:tcPr>
          <w:p w14:paraId="2A2E18AE">
            <w:pPr>
              <w:pStyle w:val="4"/>
              <w:autoSpaceDE/>
              <w:autoSpaceDN/>
              <w:spacing w:line="320" w:lineRule="exact"/>
              <w:ind w:firstLine="0" w:firstLineChars="0"/>
              <w:jc w:val="center"/>
              <w:rPr>
                <w:rFonts w:hint="eastAsia" w:ascii="宋体" w:hAnsi="宋体"/>
                <w:sz w:val="21"/>
                <w:szCs w:val="21"/>
                <w:lang w:val="en-US"/>
              </w:rPr>
            </w:pPr>
          </w:p>
        </w:tc>
        <w:tc>
          <w:tcPr>
            <w:tcW w:w="1290" w:type="pct"/>
            <w:vAlign w:val="center"/>
          </w:tcPr>
          <w:p w14:paraId="4575A6C6">
            <w:pPr>
              <w:pStyle w:val="4"/>
              <w:autoSpaceDE/>
              <w:autoSpaceDN/>
              <w:spacing w:line="320" w:lineRule="exact"/>
              <w:ind w:firstLine="0" w:firstLineChars="0"/>
              <w:jc w:val="center"/>
              <w:rPr>
                <w:rFonts w:hint="eastAsia" w:ascii="宋体" w:hAnsi="宋体"/>
                <w:sz w:val="21"/>
                <w:szCs w:val="21"/>
                <w:lang w:val="en-US"/>
              </w:rPr>
            </w:pPr>
            <w:r>
              <w:rPr>
                <w:rFonts w:hint="eastAsia" w:ascii="宋体" w:hAnsi="宋体"/>
                <w:sz w:val="21"/>
                <w:szCs w:val="21"/>
                <w:lang w:val="en-US"/>
              </w:rPr>
              <w:t>初级经济专业技术资格</w:t>
            </w:r>
          </w:p>
        </w:tc>
      </w:tr>
    </w:tbl>
    <w:p w14:paraId="0BFDD185">
      <w:pPr>
        <w:keepNext w:val="0"/>
        <w:keepLines w:val="0"/>
        <w:pageBreakBefore w:val="0"/>
        <w:widowControl w:val="0"/>
        <w:kinsoku/>
        <w:wordWrap/>
        <w:overflowPunct/>
        <w:topLinePunct w:val="0"/>
        <w:autoSpaceDE/>
        <w:autoSpaceDN/>
        <w:bidi w:val="0"/>
        <w:adjustRightInd w:val="0"/>
        <w:snapToGrid w:val="0"/>
        <w:spacing w:before="313" w:beforeLines="100" w:line="360" w:lineRule="auto"/>
        <w:ind w:firstLine="482" w:firstLineChars="200"/>
        <w:jc w:val="left"/>
        <w:textAlignment w:val="auto"/>
        <w:outlineLvl w:val="1"/>
        <w:rPr>
          <w:rFonts w:hint="eastAsia" w:ascii="宋体" w:hAnsi="宋体" w:cs="Angsana New"/>
          <w:b/>
          <w:sz w:val="24"/>
          <w:szCs w:val="24"/>
          <w:lang w:bidi="th-TH"/>
        </w:rPr>
      </w:pPr>
      <w:r>
        <w:rPr>
          <w:rFonts w:hint="eastAsia" w:ascii="宋体" w:hAnsi="宋体" w:cs="Angsana New"/>
          <w:b/>
          <w:sz w:val="24"/>
          <w:szCs w:val="24"/>
          <w:lang w:bidi="th-TH"/>
        </w:rPr>
        <w:t>（四）校企合作承担课程</w:t>
      </w:r>
    </w:p>
    <w:p w14:paraId="235BA2CD">
      <w:pPr>
        <w:adjustRightInd w:val="0"/>
        <w:snapToGrid w:val="0"/>
        <w:jc w:val="center"/>
        <w:rPr>
          <w:rFonts w:hint="eastAsia" w:ascii="宋体" w:hAnsi="宋体"/>
          <w:b/>
          <w:bCs/>
          <w:kern w:val="0"/>
          <w:szCs w:val="21"/>
        </w:rPr>
      </w:pPr>
      <w:r>
        <w:rPr>
          <w:rFonts w:hint="eastAsia" w:ascii="宋体" w:hAnsi="宋体"/>
          <w:b/>
          <w:bCs/>
          <w:kern w:val="0"/>
          <w:szCs w:val="21"/>
        </w:rPr>
        <w:t>表7  校企合作承担课程表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398"/>
        <w:gridCol w:w="1186"/>
        <w:gridCol w:w="1893"/>
      </w:tblGrid>
      <w:tr w14:paraId="55E45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0D8150E4">
            <w:pPr>
              <w:pStyle w:val="8"/>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3508FA12">
            <w:pPr>
              <w:pStyle w:val="8"/>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398" w:type="dxa"/>
            <w:vAlign w:val="center"/>
          </w:tcPr>
          <w:p w14:paraId="346E43B4">
            <w:pPr>
              <w:pStyle w:val="8"/>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186" w:type="dxa"/>
            <w:vAlign w:val="center"/>
          </w:tcPr>
          <w:p w14:paraId="05282EF4">
            <w:pPr>
              <w:pStyle w:val="8"/>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719E02F5">
            <w:pPr>
              <w:pStyle w:val="8"/>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624EA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335CE387">
            <w:r>
              <w:rPr>
                <w:rFonts w:hint="eastAsia"/>
              </w:rPr>
              <w:t>大数据在业财融合中的应用</w:t>
            </w:r>
          </w:p>
        </w:tc>
        <w:tc>
          <w:tcPr>
            <w:tcW w:w="717" w:type="dxa"/>
            <w:vAlign w:val="center"/>
          </w:tcPr>
          <w:p w14:paraId="0D91861E">
            <w:pPr>
              <w:jc w:val="center"/>
              <w:rPr>
                <w:rFonts w:hint="eastAsia" w:asciiTheme="minorEastAsia" w:hAnsiTheme="minorEastAsia" w:eastAsiaTheme="minorEastAsia"/>
              </w:rPr>
            </w:pPr>
            <w:r>
              <w:rPr>
                <w:rFonts w:hint="eastAsia" w:asciiTheme="minorEastAsia" w:hAnsiTheme="minorEastAsia" w:eastAsiaTheme="minorEastAsia"/>
              </w:rPr>
              <w:t>2.5</w:t>
            </w:r>
          </w:p>
        </w:tc>
        <w:tc>
          <w:tcPr>
            <w:tcW w:w="2398" w:type="dxa"/>
            <w:vAlign w:val="center"/>
          </w:tcPr>
          <w:p w14:paraId="22D2D8BC">
            <w:pPr>
              <w:jc w:val="center"/>
            </w:pPr>
            <w:r>
              <w:rPr>
                <w:rFonts w:hint="eastAsia"/>
              </w:rPr>
              <w:t>新道科技股份有限公司</w:t>
            </w:r>
          </w:p>
        </w:tc>
        <w:tc>
          <w:tcPr>
            <w:tcW w:w="1186" w:type="dxa"/>
            <w:vAlign w:val="center"/>
          </w:tcPr>
          <w:p w14:paraId="0DD161BE">
            <w:pPr>
              <w:jc w:val="center"/>
            </w:pPr>
            <w:r>
              <w:t>面授</w:t>
            </w:r>
          </w:p>
        </w:tc>
        <w:tc>
          <w:tcPr>
            <w:tcW w:w="1893" w:type="dxa"/>
            <w:vAlign w:val="center"/>
          </w:tcPr>
          <w:p w14:paraId="349F6767">
            <w:pPr>
              <w:jc w:val="center"/>
              <w:rPr>
                <w:rFonts w:hint="eastAsia" w:ascii="宋体" w:hAnsi="宋体"/>
              </w:rPr>
            </w:pPr>
            <w:r>
              <w:rPr>
                <w:rFonts w:hint="eastAsia" w:ascii="宋体" w:hAnsi="宋体"/>
              </w:rPr>
              <w:t>50%</w:t>
            </w:r>
          </w:p>
        </w:tc>
      </w:tr>
      <w:tr w14:paraId="5524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7EAE4D6F">
            <w:r>
              <w:rPr>
                <w:rFonts w:hint="eastAsia"/>
              </w:rPr>
              <w:t>业财税数据治理</w:t>
            </w:r>
          </w:p>
        </w:tc>
        <w:tc>
          <w:tcPr>
            <w:tcW w:w="717" w:type="dxa"/>
            <w:vAlign w:val="center"/>
          </w:tcPr>
          <w:p w14:paraId="7FDD856B">
            <w:pPr>
              <w:jc w:val="center"/>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2</w:t>
            </w:r>
          </w:p>
        </w:tc>
        <w:tc>
          <w:tcPr>
            <w:tcW w:w="2398" w:type="dxa"/>
            <w:vAlign w:val="center"/>
          </w:tcPr>
          <w:p w14:paraId="705461DD">
            <w:pPr>
              <w:jc w:val="center"/>
            </w:pPr>
            <w:r>
              <w:rPr>
                <w:rFonts w:hint="eastAsia"/>
              </w:rPr>
              <w:t>新道科技股份有限公司</w:t>
            </w:r>
          </w:p>
        </w:tc>
        <w:tc>
          <w:tcPr>
            <w:tcW w:w="1186" w:type="dxa"/>
            <w:vAlign w:val="center"/>
          </w:tcPr>
          <w:p w14:paraId="703B4F32">
            <w:pPr>
              <w:jc w:val="center"/>
            </w:pPr>
            <w:r>
              <w:t>面授</w:t>
            </w:r>
          </w:p>
        </w:tc>
        <w:tc>
          <w:tcPr>
            <w:tcW w:w="1893" w:type="dxa"/>
            <w:vAlign w:val="center"/>
          </w:tcPr>
          <w:p w14:paraId="2E5A315E">
            <w:pPr>
              <w:jc w:val="center"/>
              <w:rPr>
                <w:rFonts w:hint="eastAsia" w:ascii="宋体" w:hAnsi="宋体"/>
              </w:rPr>
            </w:pPr>
            <w:r>
              <w:rPr>
                <w:rFonts w:hint="eastAsia" w:ascii="宋体" w:hAnsi="宋体"/>
              </w:rPr>
              <w:t>50%</w:t>
            </w:r>
          </w:p>
        </w:tc>
      </w:tr>
      <w:tr w14:paraId="37F34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7C3C958C">
            <w:r>
              <w:rPr>
                <w:rFonts w:hint="eastAsia"/>
              </w:rPr>
              <w:t>业财税综合分析</w:t>
            </w:r>
          </w:p>
        </w:tc>
        <w:tc>
          <w:tcPr>
            <w:tcW w:w="717" w:type="dxa"/>
            <w:vAlign w:val="center"/>
          </w:tcPr>
          <w:p w14:paraId="3B420C54">
            <w:pPr>
              <w:jc w:val="center"/>
              <w:rPr>
                <w:rFonts w:hint="eastAsia" w:asciiTheme="minorEastAsia" w:hAnsiTheme="minorEastAsia" w:eastAsiaTheme="minorEastAsia"/>
                <w:lang w:eastAsia="zh-CN"/>
              </w:rPr>
            </w:pPr>
            <w:r>
              <w:rPr>
                <w:rFonts w:hint="eastAsia" w:asciiTheme="minorEastAsia" w:hAnsiTheme="minorEastAsia" w:eastAsiaTheme="minorEastAsia"/>
                <w:lang w:val="en-US" w:eastAsia="zh-CN"/>
              </w:rPr>
              <w:t>4</w:t>
            </w:r>
          </w:p>
        </w:tc>
        <w:tc>
          <w:tcPr>
            <w:tcW w:w="2398" w:type="dxa"/>
            <w:vAlign w:val="center"/>
          </w:tcPr>
          <w:p w14:paraId="6FDFBEB7">
            <w:pPr>
              <w:jc w:val="center"/>
            </w:pPr>
            <w:r>
              <w:rPr>
                <w:rFonts w:hint="eastAsia"/>
              </w:rPr>
              <w:t>新道科技股份有限公司</w:t>
            </w:r>
          </w:p>
        </w:tc>
        <w:tc>
          <w:tcPr>
            <w:tcW w:w="1186" w:type="dxa"/>
            <w:vAlign w:val="center"/>
          </w:tcPr>
          <w:p w14:paraId="75A46844">
            <w:pPr>
              <w:jc w:val="center"/>
            </w:pPr>
            <w:r>
              <w:t>面授</w:t>
            </w:r>
          </w:p>
        </w:tc>
        <w:tc>
          <w:tcPr>
            <w:tcW w:w="1893" w:type="dxa"/>
            <w:vAlign w:val="center"/>
          </w:tcPr>
          <w:p w14:paraId="3F40E739">
            <w:pPr>
              <w:jc w:val="center"/>
              <w:rPr>
                <w:rFonts w:hint="eastAsia" w:ascii="宋体" w:hAnsi="宋体"/>
              </w:rPr>
            </w:pPr>
            <w:r>
              <w:rPr>
                <w:rFonts w:hint="eastAsia" w:ascii="宋体" w:hAnsi="宋体"/>
              </w:rPr>
              <w:t>50%</w:t>
            </w:r>
          </w:p>
        </w:tc>
      </w:tr>
    </w:tbl>
    <w:p w14:paraId="400BD22B">
      <w:pPr>
        <w:keepNext w:val="0"/>
        <w:keepLines w:val="0"/>
        <w:pageBreakBefore w:val="0"/>
        <w:widowControl w:val="0"/>
        <w:kinsoku/>
        <w:wordWrap/>
        <w:overflowPunct/>
        <w:topLinePunct w:val="0"/>
        <w:autoSpaceDE/>
        <w:autoSpaceDN/>
        <w:bidi w:val="0"/>
        <w:adjustRightInd w:val="0"/>
        <w:snapToGrid w:val="0"/>
        <w:spacing w:before="313" w:beforeLines="100" w:line="360" w:lineRule="auto"/>
        <w:ind w:firstLine="482" w:firstLineChars="200"/>
        <w:jc w:val="left"/>
        <w:textAlignment w:val="auto"/>
        <w:outlineLvl w:val="1"/>
        <w:rPr>
          <w:rFonts w:hint="eastAsia" w:ascii="宋体" w:hAnsi="宋体" w:cs="Angsana New"/>
          <w:b/>
          <w:sz w:val="24"/>
          <w:szCs w:val="24"/>
          <w:lang w:bidi="th-TH"/>
        </w:rPr>
      </w:pPr>
      <w:r>
        <w:rPr>
          <w:rFonts w:hint="eastAsia" w:ascii="宋体" w:hAnsi="宋体" w:cs="Angsana New"/>
          <w:b/>
          <w:sz w:val="24"/>
          <w:szCs w:val="24"/>
          <w:lang w:bidi="th-TH"/>
        </w:rPr>
        <w:t>（五）教学周数分配表</w:t>
      </w:r>
    </w:p>
    <w:p w14:paraId="208AA13A">
      <w:pPr>
        <w:adjustRightInd w:val="0"/>
        <w:snapToGrid w:val="0"/>
        <w:jc w:val="center"/>
        <w:rPr>
          <w:rFonts w:hint="eastAsia" w:ascii="宋体" w:hAnsi="宋体"/>
          <w:b/>
          <w:bCs/>
          <w:kern w:val="0"/>
          <w:szCs w:val="21"/>
        </w:rPr>
      </w:pPr>
      <w:r>
        <w:rPr>
          <w:rFonts w:hint="eastAsia" w:ascii="宋体" w:hAnsi="宋体"/>
          <w:b/>
          <w:bCs/>
          <w:kern w:val="0"/>
          <w:szCs w:val="21"/>
        </w:rPr>
        <w:t>表8  教学周数分配表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8"/>
        <w:gridCol w:w="542"/>
        <w:gridCol w:w="644"/>
        <w:gridCol w:w="659"/>
        <w:gridCol w:w="1175"/>
        <w:gridCol w:w="1085"/>
        <w:gridCol w:w="921"/>
        <w:gridCol w:w="1296"/>
        <w:gridCol w:w="609"/>
        <w:gridCol w:w="633"/>
        <w:gridCol w:w="668"/>
      </w:tblGrid>
      <w:tr w14:paraId="12D3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91" w:type="pct"/>
            <w:gridSpan w:val="2"/>
            <w:vMerge w:val="restart"/>
            <w:shd w:val="clear" w:color="auto" w:fill="auto"/>
            <w:vAlign w:val="center"/>
          </w:tcPr>
          <w:p w14:paraId="0157ED3D">
            <w:pPr>
              <w:pStyle w:val="24"/>
              <w:spacing w:line="240" w:lineRule="auto"/>
              <w:ind w:left="0" w:firstLine="0" w:firstLineChars="0"/>
              <w:jc w:val="center"/>
              <w:rPr>
                <w:rFonts w:hint="eastAsia" w:cs="Microsoft JhengHei"/>
                <w:sz w:val="21"/>
                <w:szCs w:val="21"/>
                <w:lang w:eastAsia="en-US"/>
              </w:rPr>
            </w:pPr>
            <w:r>
              <w:rPr>
                <w:rFonts w:hint="eastAsia" w:cs="Microsoft JhengHei"/>
                <w:b/>
                <w:bCs/>
                <w:w w:val="85"/>
                <w:sz w:val="21"/>
                <w:szCs w:val="21"/>
              </w:rPr>
              <w:t>学期及教学周数</w:t>
            </w:r>
          </w:p>
        </w:tc>
        <w:tc>
          <w:tcPr>
            <w:tcW w:w="369" w:type="pct"/>
            <w:vMerge w:val="restart"/>
            <w:shd w:val="clear" w:color="auto" w:fill="auto"/>
            <w:vAlign w:val="center"/>
          </w:tcPr>
          <w:p w14:paraId="2534F55C">
            <w:pPr>
              <w:pStyle w:val="24"/>
              <w:spacing w:line="240" w:lineRule="auto"/>
              <w:ind w:left="0" w:firstLine="0" w:firstLineChars="0"/>
              <w:jc w:val="center"/>
              <w:rPr>
                <w:rFonts w:hint="eastAsia" w:cs="Microsoft JhengHei"/>
                <w:sz w:val="21"/>
                <w:szCs w:val="21"/>
              </w:rPr>
            </w:pPr>
            <w:r>
              <w:rPr>
                <w:rFonts w:hint="eastAsia" w:cs="Microsoft JhengHei"/>
                <w:b/>
                <w:bCs/>
                <w:spacing w:val="3"/>
                <w:w w:val="95"/>
                <w:sz w:val="21"/>
                <w:szCs w:val="21"/>
              </w:rPr>
              <w:t>理论教学</w:t>
            </w:r>
          </w:p>
        </w:tc>
        <w:tc>
          <w:tcPr>
            <w:tcW w:w="378" w:type="pct"/>
            <w:vMerge w:val="restart"/>
            <w:shd w:val="clear" w:color="auto" w:fill="auto"/>
            <w:vAlign w:val="center"/>
          </w:tcPr>
          <w:p w14:paraId="7BB586BD">
            <w:pPr>
              <w:pStyle w:val="24"/>
              <w:spacing w:line="240" w:lineRule="auto"/>
              <w:ind w:left="0" w:firstLine="0" w:firstLineChars="0"/>
              <w:jc w:val="center"/>
              <w:rPr>
                <w:rFonts w:hint="eastAsia" w:cs="Microsoft JhengHei"/>
                <w:b/>
                <w:bCs/>
                <w:spacing w:val="3"/>
                <w:w w:val="95"/>
                <w:sz w:val="21"/>
                <w:szCs w:val="21"/>
              </w:rPr>
            </w:pPr>
            <w:r>
              <w:rPr>
                <w:rFonts w:hint="eastAsia" w:cs="Microsoft JhengHei"/>
                <w:b/>
                <w:bCs/>
                <w:spacing w:val="3"/>
                <w:w w:val="95"/>
                <w:sz w:val="21"/>
                <w:szCs w:val="21"/>
              </w:rPr>
              <w:t>军事理论</w:t>
            </w:r>
          </w:p>
          <w:p w14:paraId="7DFEEE77">
            <w:pPr>
              <w:pStyle w:val="24"/>
              <w:spacing w:line="240" w:lineRule="auto"/>
              <w:ind w:left="0" w:firstLine="0" w:firstLineChars="0"/>
              <w:jc w:val="center"/>
              <w:rPr>
                <w:rFonts w:hint="eastAsia" w:cs="Microsoft JhengHei"/>
                <w:b/>
                <w:bCs/>
                <w:spacing w:val="3"/>
                <w:w w:val="95"/>
                <w:sz w:val="21"/>
                <w:szCs w:val="21"/>
              </w:rPr>
            </w:pPr>
            <w:r>
              <w:rPr>
                <w:rFonts w:hint="eastAsia" w:cs="Microsoft JhengHei"/>
                <w:b/>
                <w:bCs/>
                <w:spacing w:val="3"/>
                <w:w w:val="95"/>
                <w:sz w:val="21"/>
                <w:szCs w:val="21"/>
              </w:rPr>
              <w:t>军事技能</w:t>
            </w:r>
          </w:p>
        </w:tc>
        <w:tc>
          <w:tcPr>
            <w:tcW w:w="2567" w:type="pct"/>
            <w:gridSpan w:val="4"/>
            <w:shd w:val="clear" w:color="auto" w:fill="auto"/>
            <w:vAlign w:val="center"/>
          </w:tcPr>
          <w:p w14:paraId="380F3FBF">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sz w:val="21"/>
                <w:szCs w:val="21"/>
              </w:rPr>
              <w:t>实践教学</w:t>
            </w:r>
          </w:p>
        </w:tc>
        <w:tc>
          <w:tcPr>
            <w:tcW w:w="349" w:type="pct"/>
            <w:vMerge w:val="restart"/>
            <w:shd w:val="clear" w:color="auto" w:fill="auto"/>
            <w:vAlign w:val="center"/>
          </w:tcPr>
          <w:p w14:paraId="3C0D473F">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w w:val="95"/>
                <w:sz w:val="21"/>
                <w:szCs w:val="21"/>
              </w:rPr>
              <w:t>其他</w:t>
            </w:r>
          </w:p>
        </w:tc>
        <w:tc>
          <w:tcPr>
            <w:tcW w:w="363" w:type="pct"/>
            <w:vMerge w:val="restart"/>
            <w:shd w:val="clear" w:color="auto" w:fill="auto"/>
            <w:vAlign w:val="center"/>
          </w:tcPr>
          <w:p w14:paraId="647312F4">
            <w:pPr>
              <w:pStyle w:val="24"/>
              <w:spacing w:line="240" w:lineRule="auto"/>
              <w:ind w:left="0" w:firstLine="0" w:firstLineChars="0"/>
              <w:jc w:val="center"/>
              <w:rPr>
                <w:rFonts w:hint="eastAsia" w:cs="Microsoft JhengHei"/>
                <w:b/>
                <w:bCs/>
                <w:w w:val="85"/>
                <w:sz w:val="21"/>
                <w:szCs w:val="21"/>
              </w:rPr>
            </w:pPr>
            <w:r>
              <w:rPr>
                <w:rFonts w:hint="eastAsia" w:cs="Microsoft JhengHei"/>
                <w:b/>
                <w:bCs/>
                <w:w w:val="85"/>
                <w:sz w:val="21"/>
                <w:szCs w:val="21"/>
              </w:rPr>
              <w:t>考试</w:t>
            </w:r>
          </w:p>
        </w:tc>
        <w:tc>
          <w:tcPr>
            <w:tcW w:w="384" w:type="pct"/>
            <w:vMerge w:val="restart"/>
            <w:shd w:val="clear" w:color="auto" w:fill="auto"/>
            <w:vAlign w:val="center"/>
          </w:tcPr>
          <w:p w14:paraId="2DAAF707">
            <w:pPr>
              <w:pStyle w:val="24"/>
              <w:spacing w:line="240" w:lineRule="auto"/>
              <w:ind w:left="0" w:firstLine="0" w:firstLineChars="0"/>
              <w:jc w:val="center"/>
              <w:rPr>
                <w:rFonts w:hint="eastAsia" w:cs="Microsoft JhengHei"/>
                <w:sz w:val="21"/>
                <w:szCs w:val="21"/>
                <w:lang w:eastAsia="en-US"/>
              </w:rPr>
            </w:pPr>
            <w:r>
              <w:rPr>
                <w:rFonts w:hint="eastAsia" w:cs="Microsoft JhengHei"/>
                <w:b/>
                <w:bCs/>
                <w:w w:val="85"/>
                <w:sz w:val="21"/>
                <w:szCs w:val="21"/>
              </w:rPr>
              <w:t>合计</w:t>
            </w:r>
          </w:p>
        </w:tc>
      </w:tr>
      <w:tr w14:paraId="5BB73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591" w:type="pct"/>
            <w:gridSpan w:val="2"/>
            <w:vMerge w:val="continue"/>
            <w:shd w:val="clear" w:color="auto" w:fill="auto"/>
            <w:vAlign w:val="center"/>
          </w:tcPr>
          <w:p w14:paraId="5BAC60BB">
            <w:pPr>
              <w:widowControl/>
              <w:jc w:val="center"/>
              <w:rPr>
                <w:rFonts w:hint="eastAsia" w:ascii="宋体" w:hAnsi="宋体" w:cs="Microsoft JhengHei"/>
                <w:szCs w:val="21"/>
                <w:lang w:eastAsia="en-US"/>
              </w:rPr>
            </w:pPr>
          </w:p>
        </w:tc>
        <w:tc>
          <w:tcPr>
            <w:tcW w:w="369" w:type="pct"/>
            <w:vMerge w:val="continue"/>
            <w:shd w:val="clear" w:color="auto" w:fill="auto"/>
            <w:vAlign w:val="center"/>
          </w:tcPr>
          <w:p w14:paraId="7F07C0E5">
            <w:pPr>
              <w:pStyle w:val="24"/>
              <w:spacing w:line="240" w:lineRule="auto"/>
              <w:ind w:left="0" w:firstLine="0" w:firstLineChars="0"/>
              <w:jc w:val="center"/>
              <w:rPr>
                <w:rFonts w:hint="eastAsia" w:cs="Microsoft JhengHei"/>
                <w:b/>
                <w:bCs/>
                <w:spacing w:val="3"/>
                <w:w w:val="95"/>
                <w:sz w:val="21"/>
                <w:szCs w:val="21"/>
              </w:rPr>
            </w:pPr>
          </w:p>
        </w:tc>
        <w:tc>
          <w:tcPr>
            <w:tcW w:w="378" w:type="pct"/>
            <w:vMerge w:val="continue"/>
            <w:shd w:val="clear" w:color="auto" w:fill="auto"/>
            <w:vAlign w:val="center"/>
          </w:tcPr>
          <w:p w14:paraId="677FFEA9">
            <w:pPr>
              <w:pStyle w:val="24"/>
              <w:spacing w:line="240" w:lineRule="auto"/>
              <w:ind w:left="0" w:firstLine="0" w:firstLineChars="0"/>
              <w:jc w:val="center"/>
              <w:rPr>
                <w:rFonts w:hint="eastAsia" w:cs="Microsoft JhengHei"/>
                <w:sz w:val="21"/>
                <w:szCs w:val="21"/>
                <w:lang w:eastAsia="en-US"/>
              </w:rPr>
            </w:pPr>
          </w:p>
        </w:tc>
        <w:tc>
          <w:tcPr>
            <w:tcW w:w="674" w:type="pct"/>
            <w:shd w:val="clear" w:color="auto" w:fill="auto"/>
            <w:vAlign w:val="center"/>
          </w:tcPr>
          <w:p w14:paraId="345981C5">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622" w:type="pct"/>
            <w:shd w:val="clear" w:color="auto" w:fill="auto"/>
            <w:vAlign w:val="center"/>
          </w:tcPr>
          <w:p w14:paraId="68D43D61">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528" w:type="pct"/>
            <w:shd w:val="clear" w:color="auto" w:fill="auto"/>
            <w:vAlign w:val="center"/>
          </w:tcPr>
          <w:p w14:paraId="314391C6">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w w:val="95"/>
                <w:sz w:val="21"/>
                <w:szCs w:val="21"/>
              </w:rPr>
              <w:t>教学生产实习</w:t>
            </w:r>
          </w:p>
        </w:tc>
        <w:tc>
          <w:tcPr>
            <w:tcW w:w="743" w:type="pct"/>
            <w:shd w:val="clear" w:color="auto" w:fill="auto"/>
            <w:vAlign w:val="center"/>
          </w:tcPr>
          <w:p w14:paraId="083C231D">
            <w:pPr>
              <w:pStyle w:val="24"/>
              <w:spacing w:line="240" w:lineRule="auto"/>
              <w:ind w:left="0" w:firstLine="0" w:firstLineChars="0"/>
              <w:jc w:val="center"/>
              <w:rPr>
                <w:rFonts w:hint="eastAsia" w:cs="Microsoft JhengHei"/>
                <w:sz w:val="21"/>
                <w:szCs w:val="21"/>
              </w:rPr>
            </w:pPr>
            <w:r>
              <w:rPr>
                <w:rFonts w:hint="eastAsia" w:cs="Microsoft JhengHei"/>
                <w:b/>
                <w:bCs/>
                <w:spacing w:val="3"/>
                <w:w w:val="95"/>
                <w:sz w:val="21"/>
                <w:szCs w:val="21"/>
              </w:rPr>
              <w:t>岗位实习</w:t>
            </w:r>
          </w:p>
        </w:tc>
        <w:tc>
          <w:tcPr>
            <w:tcW w:w="349" w:type="pct"/>
            <w:vMerge w:val="continue"/>
            <w:shd w:val="clear" w:color="auto" w:fill="auto"/>
            <w:vAlign w:val="center"/>
          </w:tcPr>
          <w:p w14:paraId="061BBC45">
            <w:pPr>
              <w:widowControl/>
              <w:jc w:val="center"/>
              <w:rPr>
                <w:rFonts w:hint="eastAsia" w:ascii="宋体" w:hAnsi="宋体" w:cs="Microsoft JhengHei"/>
                <w:szCs w:val="21"/>
              </w:rPr>
            </w:pPr>
          </w:p>
        </w:tc>
        <w:tc>
          <w:tcPr>
            <w:tcW w:w="363" w:type="pct"/>
            <w:vMerge w:val="continue"/>
            <w:shd w:val="clear" w:color="auto" w:fill="auto"/>
            <w:vAlign w:val="center"/>
          </w:tcPr>
          <w:p w14:paraId="71126766">
            <w:pPr>
              <w:widowControl/>
              <w:jc w:val="center"/>
              <w:rPr>
                <w:rFonts w:hint="eastAsia" w:ascii="宋体" w:hAnsi="宋体" w:cs="Microsoft JhengHei"/>
                <w:szCs w:val="21"/>
              </w:rPr>
            </w:pPr>
          </w:p>
        </w:tc>
        <w:tc>
          <w:tcPr>
            <w:tcW w:w="384" w:type="pct"/>
            <w:vMerge w:val="continue"/>
            <w:shd w:val="clear" w:color="auto" w:fill="auto"/>
            <w:vAlign w:val="center"/>
          </w:tcPr>
          <w:p w14:paraId="6A15A711">
            <w:pPr>
              <w:widowControl/>
              <w:jc w:val="center"/>
              <w:rPr>
                <w:rFonts w:hint="eastAsia" w:ascii="宋体" w:hAnsi="宋体" w:cs="Microsoft JhengHei"/>
                <w:szCs w:val="21"/>
              </w:rPr>
            </w:pPr>
          </w:p>
        </w:tc>
      </w:tr>
      <w:tr w14:paraId="1FB2A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1DCBE1CF">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311" w:type="pct"/>
            <w:shd w:val="clear" w:color="auto" w:fill="auto"/>
            <w:vAlign w:val="center"/>
          </w:tcPr>
          <w:p w14:paraId="31A29718">
            <w:pPr>
              <w:pStyle w:val="24"/>
              <w:spacing w:line="240" w:lineRule="auto"/>
              <w:ind w:left="0" w:firstLine="0" w:firstLineChars="0"/>
              <w:jc w:val="center"/>
              <w:rPr>
                <w:rFonts w:hint="eastAsia" w:cs="Calibri"/>
                <w:sz w:val="21"/>
                <w:szCs w:val="21"/>
              </w:rPr>
            </w:pPr>
            <w:r>
              <w:rPr>
                <w:rFonts w:hint="eastAsia" w:cs="Calibri"/>
                <w:sz w:val="21"/>
                <w:szCs w:val="21"/>
              </w:rPr>
              <w:t>20</w:t>
            </w:r>
          </w:p>
        </w:tc>
        <w:tc>
          <w:tcPr>
            <w:tcW w:w="369" w:type="pct"/>
            <w:shd w:val="clear" w:color="auto" w:fill="auto"/>
            <w:vAlign w:val="center"/>
          </w:tcPr>
          <w:p w14:paraId="458B45D7">
            <w:pPr>
              <w:pStyle w:val="24"/>
              <w:spacing w:line="240" w:lineRule="auto"/>
              <w:ind w:left="0" w:firstLine="0" w:firstLineChars="0"/>
              <w:jc w:val="center"/>
              <w:rPr>
                <w:rFonts w:hint="eastAsia" w:cs="Calibri"/>
                <w:sz w:val="21"/>
                <w:szCs w:val="21"/>
                <w:lang w:eastAsia="en-US"/>
              </w:rPr>
            </w:pPr>
            <w:r>
              <w:rPr>
                <w:rFonts w:hint="eastAsia" w:cs="Calibri"/>
                <w:sz w:val="21"/>
                <w:szCs w:val="21"/>
                <w:lang w:val="en-US"/>
              </w:rPr>
              <w:t>16</w:t>
            </w:r>
          </w:p>
        </w:tc>
        <w:tc>
          <w:tcPr>
            <w:tcW w:w="378" w:type="pct"/>
            <w:shd w:val="clear" w:color="auto" w:fill="auto"/>
            <w:vAlign w:val="center"/>
          </w:tcPr>
          <w:p w14:paraId="0B0325F2">
            <w:pPr>
              <w:pStyle w:val="24"/>
              <w:spacing w:line="240" w:lineRule="auto"/>
              <w:ind w:left="0" w:firstLine="0" w:firstLineChars="0"/>
              <w:jc w:val="center"/>
              <w:rPr>
                <w:rFonts w:hint="eastAsia" w:cs="Calibri"/>
                <w:sz w:val="21"/>
                <w:szCs w:val="21"/>
                <w:lang w:eastAsia="en-US"/>
              </w:rPr>
            </w:pPr>
            <w:r>
              <w:rPr>
                <w:rFonts w:hint="eastAsia" w:cs="Calibri"/>
                <w:sz w:val="21"/>
                <w:szCs w:val="21"/>
                <w:lang w:val="en-US"/>
              </w:rPr>
              <w:t>3</w:t>
            </w:r>
          </w:p>
        </w:tc>
        <w:tc>
          <w:tcPr>
            <w:tcW w:w="674" w:type="pct"/>
            <w:shd w:val="clear" w:color="auto" w:fill="auto"/>
            <w:vAlign w:val="center"/>
          </w:tcPr>
          <w:p w14:paraId="12D36A6A">
            <w:pPr>
              <w:jc w:val="center"/>
              <w:rPr>
                <w:rFonts w:hint="eastAsia" w:ascii="宋体" w:hAnsi="宋体"/>
                <w:szCs w:val="21"/>
                <w:lang w:eastAsia="en-US"/>
              </w:rPr>
            </w:pPr>
          </w:p>
        </w:tc>
        <w:tc>
          <w:tcPr>
            <w:tcW w:w="622" w:type="pct"/>
            <w:shd w:val="clear" w:color="auto" w:fill="auto"/>
            <w:vAlign w:val="center"/>
          </w:tcPr>
          <w:p w14:paraId="53A63282">
            <w:pPr>
              <w:jc w:val="center"/>
              <w:rPr>
                <w:rFonts w:hint="eastAsia" w:ascii="宋体" w:hAnsi="宋体"/>
                <w:szCs w:val="21"/>
                <w:lang w:eastAsia="en-US"/>
              </w:rPr>
            </w:pPr>
          </w:p>
        </w:tc>
        <w:tc>
          <w:tcPr>
            <w:tcW w:w="528" w:type="pct"/>
            <w:shd w:val="clear" w:color="auto" w:fill="auto"/>
            <w:vAlign w:val="center"/>
          </w:tcPr>
          <w:p w14:paraId="29EC8270">
            <w:pPr>
              <w:jc w:val="center"/>
              <w:rPr>
                <w:rFonts w:hint="eastAsia" w:ascii="宋体" w:hAnsi="宋体"/>
                <w:szCs w:val="21"/>
                <w:lang w:eastAsia="en-US"/>
              </w:rPr>
            </w:pPr>
          </w:p>
        </w:tc>
        <w:tc>
          <w:tcPr>
            <w:tcW w:w="743" w:type="pct"/>
            <w:shd w:val="clear" w:color="auto" w:fill="auto"/>
            <w:vAlign w:val="center"/>
          </w:tcPr>
          <w:p w14:paraId="7154DB06">
            <w:pPr>
              <w:jc w:val="center"/>
              <w:rPr>
                <w:rFonts w:hint="eastAsia" w:ascii="宋体" w:hAnsi="宋体"/>
                <w:szCs w:val="21"/>
                <w:lang w:eastAsia="en-US"/>
              </w:rPr>
            </w:pPr>
          </w:p>
        </w:tc>
        <w:tc>
          <w:tcPr>
            <w:tcW w:w="349" w:type="pct"/>
            <w:shd w:val="clear" w:color="auto" w:fill="auto"/>
            <w:vAlign w:val="center"/>
          </w:tcPr>
          <w:p w14:paraId="5F637B4D">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067E1836">
            <w:pPr>
              <w:pStyle w:val="24"/>
              <w:spacing w:line="240" w:lineRule="auto"/>
              <w:ind w:left="0" w:firstLine="0" w:firstLineChars="0"/>
              <w:jc w:val="center"/>
              <w:rPr>
                <w:rFonts w:hint="eastAsia" w:cs="Calibri"/>
                <w:sz w:val="21"/>
                <w:szCs w:val="21"/>
              </w:rPr>
            </w:pPr>
            <w:r>
              <w:rPr>
                <w:rFonts w:hint="eastAsia" w:cs="Calibri"/>
                <w:sz w:val="21"/>
                <w:szCs w:val="21"/>
              </w:rPr>
              <w:t>1</w:t>
            </w:r>
          </w:p>
        </w:tc>
        <w:tc>
          <w:tcPr>
            <w:tcW w:w="384" w:type="pct"/>
            <w:shd w:val="clear" w:color="auto" w:fill="auto"/>
            <w:vAlign w:val="center"/>
          </w:tcPr>
          <w:p w14:paraId="2E737DED">
            <w:pPr>
              <w:pStyle w:val="24"/>
              <w:spacing w:line="240" w:lineRule="auto"/>
              <w:ind w:left="0" w:firstLine="0" w:firstLineChars="0"/>
              <w:jc w:val="center"/>
              <w:rPr>
                <w:rFonts w:hint="eastAsia" w:cs="Calibri"/>
                <w:sz w:val="21"/>
                <w:szCs w:val="21"/>
                <w:lang w:eastAsia="en-US"/>
              </w:rPr>
            </w:pPr>
            <w:r>
              <w:rPr>
                <w:rFonts w:hint="eastAsia" w:cs="Calibri"/>
                <w:sz w:val="21"/>
                <w:szCs w:val="21"/>
                <w:lang w:val="en-US"/>
              </w:rPr>
              <w:t>20</w:t>
            </w:r>
          </w:p>
        </w:tc>
      </w:tr>
      <w:tr w14:paraId="7F0F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243CA844">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311" w:type="pct"/>
            <w:shd w:val="clear" w:color="auto" w:fill="auto"/>
            <w:vAlign w:val="center"/>
          </w:tcPr>
          <w:p w14:paraId="460FED14">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20</w:t>
            </w:r>
          </w:p>
        </w:tc>
        <w:tc>
          <w:tcPr>
            <w:tcW w:w="369" w:type="pct"/>
            <w:shd w:val="clear" w:color="auto" w:fill="auto"/>
            <w:vAlign w:val="center"/>
          </w:tcPr>
          <w:p w14:paraId="6C06F0D4">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17</w:t>
            </w:r>
          </w:p>
        </w:tc>
        <w:tc>
          <w:tcPr>
            <w:tcW w:w="378" w:type="pct"/>
            <w:shd w:val="clear" w:color="auto" w:fill="auto"/>
            <w:vAlign w:val="center"/>
          </w:tcPr>
          <w:p w14:paraId="6151E9AD">
            <w:pPr>
              <w:pStyle w:val="24"/>
              <w:spacing w:line="240" w:lineRule="auto"/>
              <w:ind w:left="0" w:firstLine="0" w:firstLineChars="0"/>
              <w:jc w:val="center"/>
              <w:rPr>
                <w:rFonts w:hint="eastAsia" w:cs="Calibri"/>
                <w:sz w:val="21"/>
                <w:szCs w:val="21"/>
                <w:lang w:eastAsia="en-US"/>
              </w:rPr>
            </w:pPr>
          </w:p>
        </w:tc>
        <w:tc>
          <w:tcPr>
            <w:tcW w:w="674" w:type="pct"/>
            <w:shd w:val="clear" w:color="auto" w:fill="auto"/>
            <w:vAlign w:val="center"/>
          </w:tcPr>
          <w:p w14:paraId="1E7E8B02">
            <w:pPr>
              <w:jc w:val="center"/>
              <w:rPr>
                <w:rFonts w:hint="eastAsia" w:ascii="宋体" w:hAnsi="宋体"/>
                <w:szCs w:val="21"/>
              </w:rPr>
            </w:pPr>
            <w:r>
              <w:rPr>
                <w:rFonts w:hint="eastAsia" w:ascii="宋体" w:hAnsi="宋体"/>
                <w:szCs w:val="21"/>
              </w:rPr>
              <w:t>2</w:t>
            </w:r>
          </w:p>
        </w:tc>
        <w:tc>
          <w:tcPr>
            <w:tcW w:w="622" w:type="pct"/>
            <w:shd w:val="clear" w:color="auto" w:fill="auto"/>
            <w:vAlign w:val="center"/>
          </w:tcPr>
          <w:p w14:paraId="77A79A8C">
            <w:pPr>
              <w:pStyle w:val="24"/>
              <w:spacing w:line="240" w:lineRule="auto"/>
              <w:ind w:left="0" w:firstLine="0" w:firstLineChars="0"/>
              <w:jc w:val="center"/>
              <w:rPr>
                <w:rFonts w:hint="eastAsia" w:cs="Calibri"/>
                <w:sz w:val="21"/>
                <w:szCs w:val="21"/>
                <w:lang w:eastAsia="en-US"/>
              </w:rPr>
            </w:pPr>
          </w:p>
        </w:tc>
        <w:tc>
          <w:tcPr>
            <w:tcW w:w="528" w:type="pct"/>
            <w:shd w:val="clear" w:color="auto" w:fill="auto"/>
            <w:vAlign w:val="center"/>
          </w:tcPr>
          <w:p w14:paraId="73E0F05B">
            <w:pPr>
              <w:jc w:val="center"/>
              <w:rPr>
                <w:rFonts w:hint="eastAsia" w:ascii="宋体" w:hAnsi="宋体"/>
                <w:szCs w:val="21"/>
                <w:lang w:eastAsia="en-US"/>
              </w:rPr>
            </w:pPr>
          </w:p>
        </w:tc>
        <w:tc>
          <w:tcPr>
            <w:tcW w:w="743" w:type="pct"/>
            <w:shd w:val="clear" w:color="auto" w:fill="auto"/>
            <w:vAlign w:val="center"/>
          </w:tcPr>
          <w:p w14:paraId="1771CADF">
            <w:pPr>
              <w:jc w:val="center"/>
              <w:rPr>
                <w:rFonts w:hint="eastAsia" w:ascii="宋体" w:hAnsi="宋体"/>
                <w:szCs w:val="21"/>
                <w:lang w:eastAsia="en-US"/>
              </w:rPr>
            </w:pPr>
          </w:p>
        </w:tc>
        <w:tc>
          <w:tcPr>
            <w:tcW w:w="349" w:type="pct"/>
            <w:shd w:val="clear" w:color="auto" w:fill="auto"/>
            <w:vAlign w:val="center"/>
          </w:tcPr>
          <w:p w14:paraId="03809193">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765D6F98">
            <w:pPr>
              <w:pStyle w:val="24"/>
              <w:spacing w:line="240" w:lineRule="auto"/>
              <w:ind w:left="0" w:firstLine="0" w:firstLineChars="0"/>
              <w:jc w:val="center"/>
              <w:rPr>
                <w:rFonts w:hint="eastAsia" w:cs="Calibri"/>
                <w:sz w:val="21"/>
                <w:szCs w:val="21"/>
              </w:rPr>
            </w:pPr>
            <w:r>
              <w:rPr>
                <w:rFonts w:hint="eastAsia" w:cs="Calibri"/>
                <w:sz w:val="21"/>
                <w:szCs w:val="21"/>
              </w:rPr>
              <w:t>1</w:t>
            </w:r>
          </w:p>
        </w:tc>
        <w:tc>
          <w:tcPr>
            <w:tcW w:w="384" w:type="pct"/>
            <w:shd w:val="clear" w:color="auto" w:fill="auto"/>
            <w:vAlign w:val="center"/>
          </w:tcPr>
          <w:p w14:paraId="798F0716">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20</w:t>
            </w:r>
          </w:p>
        </w:tc>
      </w:tr>
      <w:tr w14:paraId="1E942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1D522FD4">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311" w:type="pct"/>
            <w:shd w:val="clear" w:color="auto" w:fill="auto"/>
            <w:vAlign w:val="center"/>
          </w:tcPr>
          <w:p w14:paraId="7501953B">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20</w:t>
            </w:r>
          </w:p>
        </w:tc>
        <w:tc>
          <w:tcPr>
            <w:tcW w:w="369" w:type="pct"/>
            <w:shd w:val="clear" w:color="auto" w:fill="auto"/>
            <w:vAlign w:val="center"/>
          </w:tcPr>
          <w:p w14:paraId="58C6E1A2">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17</w:t>
            </w:r>
          </w:p>
        </w:tc>
        <w:tc>
          <w:tcPr>
            <w:tcW w:w="378" w:type="pct"/>
            <w:shd w:val="clear" w:color="auto" w:fill="auto"/>
            <w:vAlign w:val="center"/>
          </w:tcPr>
          <w:p w14:paraId="60CADE97">
            <w:pPr>
              <w:pStyle w:val="24"/>
              <w:spacing w:line="240" w:lineRule="auto"/>
              <w:ind w:left="0" w:firstLine="0" w:firstLineChars="0"/>
              <w:jc w:val="center"/>
              <w:rPr>
                <w:rFonts w:hint="eastAsia" w:cs="Calibri"/>
                <w:sz w:val="21"/>
                <w:szCs w:val="21"/>
                <w:lang w:eastAsia="en-US"/>
              </w:rPr>
            </w:pPr>
          </w:p>
        </w:tc>
        <w:tc>
          <w:tcPr>
            <w:tcW w:w="674" w:type="pct"/>
            <w:shd w:val="clear" w:color="auto" w:fill="auto"/>
            <w:vAlign w:val="center"/>
          </w:tcPr>
          <w:p w14:paraId="61CA1F6B">
            <w:pPr>
              <w:jc w:val="center"/>
              <w:rPr>
                <w:rFonts w:hint="eastAsia" w:ascii="宋体" w:hAnsi="宋体"/>
                <w:szCs w:val="21"/>
              </w:rPr>
            </w:pPr>
            <w:r>
              <w:rPr>
                <w:rFonts w:hint="eastAsia" w:ascii="宋体" w:hAnsi="宋体"/>
                <w:szCs w:val="21"/>
              </w:rPr>
              <w:t>2</w:t>
            </w:r>
          </w:p>
        </w:tc>
        <w:tc>
          <w:tcPr>
            <w:tcW w:w="622" w:type="pct"/>
            <w:shd w:val="clear" w:color="auto" w:fill="auto"/>
            <w:vAlign w:val="center"/>
          </w:tcPr>
          <w:p w14:paraId="22244089">
            <w:pPr>
              <w:pStyle w:val="24"/>
              <w:spacing w:line="240" w:lineRule="auto"/>
              <w:ind w:left="0" w:firstLine="0" w:firstLineChars="0"/>
              <w:jc w:val="center"/>
              <w:rPr>
                <w:rFonts w:hint="eastAsia" w:cs="Calibri"/>
                <w:sz w:val="21"/>
                <w:szCs w:val="21"/>
                <w:lang w:eastAsia="en-US"/>
              </w:rPr>
            </w:pPr>
          </w:p>
        </w:tc>
        <w:tc>
          <w:tcPr>
            <w:tcW w:w="528" w:type="pct"/>
            <w:shd w:val="clear" w:color="auto" w:fill="auto"/>
            <w:vAlign w:val="center"/>
          </w:tcPr>
          <w:p w14:paraId="63CC9A7D">
            <w:pPr>
              <w:ind w:firstLine="210" w:firstLineChars="100"/>
              <w:rPr>
                <w:rFonts w:hint="eastAsia" w:ascii="宋体" w:hAnsi="宋体"/>
                <w:szCs w:val="21"/>
                <w:lang w:eastAsia="en-US"/>
              </w:rPr>
            </w:pPr>
          </w:p>
        </w:tc>
        <w:tc>
          <w:tcPr>
            <w:tcW w:w="743" w:type="pct"/>
            <w:shd w:val="clear" w:color="auto" w:fill="auto"/>
            <w:vAlign w:val="center"/>
          </w:tcPr>
          <w:p w14:paraId="3B4F9BA1">
            <w:pPr>
              <w:jc w:val="center"/>
              <w:rPr>
                <w:rFonts w:hint="eastAsia" w:ascii="宋体" w:hAnsi="宋体"/>
                <w:szCs w:val="21"/>
                <w:lang w:eastAsia="en-US"/>
              </w:rPr>
            </w:pPr>
          </w:p>
        </w:tc>
        <w:tc>
          <w:tcPr>
            <w:tcW w:w="349" w:type="pct"/>
            <w:shd w:val="clear" w:color="auto" w:fill="auto"/>
            <w:vAlign w:val="center"/>
          </w:tcPr>
          <w:p w14:paraId="781250BE">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71B08062">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1</w:t>
            </w:r>
          </w:p>
        </w:tc>
        <w:tc>
          <w:tcPr>
            <w:tcW w:w="384" w:type="pct"/>
            <w:shd w:val="clear" w:color="auto" w:fill="auto"/>
            <w:vAlign w:val="center"/>
          </w:tcPr>
          <w:p w14:paraId="1B3A1715">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20</w:t>
            </w:r>
          </w:p>
        </w:tc>
      </w:tr>
      <w:tr w14:paraId="1940A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35BF8B92">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311" w:type="pct"/>
            <w:shd w:val="clear" w:color="auto" w:fill="auto"/>
            <w:vAlign w:val="center"/>
          </w:tcPr>
          <w:p w14:paraId="105A219B">
            <w:pPr>
              <w:pStyle w:val="24"/>
              <w:spacing w:line="240" w:lineRule="auto"/>
              <w:ind w:left="0" w:firstLine="0" w:firstLineChars="0"/>
              <w:jc w:val="center"/>
              <w:rPr>
                <w:rFonts w:hint="eastAsia" w:cs="Calibri"/>
                <w:sz w:val="21"/>
                <w:szCs w:val="21"/>
              </w:rPr>
            </w:pPr>
            <w:r>
              <w:rPr>
                <w:rFonts w:hint="eastAsia" w:cs="Calibri"/>
                <w:sz w:val="21"/>
                <w:szCs w:val="21"/>
              </w:rPr>
              <w:t>20</w:t>
            </w:r>
          </w:p>
        </w:tc>
        <w:tc>
          <w:tcPr>
            <w:tcW w:w="369" w:type="pct"/>
            <w:shd w:val="clear" w:color="auto" w:fill="auto"/>
            <w:vAlign w:val="center"/>
          </w:tcPr>
          <w:p w14:paraId="6CC7E84F">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17</w:t>
            </w:r>
          </w:p>
        </w:tc>
        <w:tc>
          <w:tcPr>
            <w:tcW w:w="378" w:type="pct"/>
            <w:shd w:val="clear" w:color="auto" w:fill="auto"/>
            <w:vAlign w:val="center"/>
          </w:tcPr>
          <w:p w14:paraId="4C2816F5">
            <w:pPr>
              <w:pStyle w:val="24"/>
              <w:spacing w:line="240" w:lineRule="auto"/>
              <w:ind w:left="0" w:firstLine="0" w:firstLineChars="0"/>
              <w:jc w:val="center"/>
              <w:rPr>
                <w:rFonts w:hint="eastAsia" w:cs="Calibri"/>
                <w:sz w:val="21"/>
                <w:szCs w:val="21"/>
                <w:lang w:eastAsia="en-US"/>
              </w:rPr>
            </w:pPr>
          </w:p>
        </w:tc>
        <w:tc>
          <w:tcPr>
            <w:tcW w:w="674" w:type="pct"/>
            <w:shd w:val="clear" w:color="auto" w:fill="auto"/>
            <w:vAlign w:val="center"/>
          </w:tcPr>
          <w:p w14:paraId="3905A360">
            <w:pPr>
              <w:jc w:val="center"/>
              <w:rPr>
                <w:rFonts w:hint="eastAsia" w:ascii="宋体" w:hAnsi="宋体"/>
                <w:szCs w:val="21"/>
              </w:rPr>
            </w:pPr>
            <w:r>
              <w:rPr>
                <w:rFonts w:hint="eastAsia" w:ascii="宋体" w:hAnsi="宋体"/>
                <w:szCs w:val="21"/>
              </w:rPr>
              <w:t>2</w:t>
            </w:r>
          </w:p>
        </w:tc>
        <w:tc>
          <w:tcPr>
            <w:tcW w:w="622" w:type="pct"/>
            <w:shd w:val="clear" w:color="auto" w:fill="auto"/>
            <w:vAlign w:val="center"/>
          </w:tcPr>
          <w:p w14:paraId="285962B5">
            <w:pPr>
              <w:pStyle w:val="24"/>
              <w:spacing w:line="240" w:lineRule="auto"/>
              <w:ind w:left="0" w:firstLine="0" w:firstLineChars="0"/>
              <w:jc w:val="center"/>
              <w:rPr>
                <w:rFonts w:hint="eastAsia" w:cs="Calibri"/>
                <w:sz w:val="21"/>
                <w:szCs w:val="21"/>
                <w:lang w:eastAsia="en-US"/>
              </w:rPr>
            </w:pPr>
          </w:p>
        </w:tc>
        <w:tc>
          <w:tcPr>
            <w:tcW w:w="528" w:type="pct"/>
            <w:shd w:val="clear" w:color="auto" w:fill="auto"/>
            <w:vAlign w:val="center"/>
          </w:tcPr>
          <w:p w14:paraId="082C8283">
            <w:pPr>
              <w:jc w:val="center"/>
              <w:rPr>
                <w:rFonts w:hint="eastAsia" w:ascii="宋体" w:hAnsi="宋体"/>
                <w:szCs w:val="21"/>
                <w:lang w:eastAsia="en-US"/>
              </w:rPr>
            </w:pPr>
          </w:p>
        </w:tc>
        <w:tc>
          <w:tcPr>
            <w:tcW w:w="743" w:type="pct"/>
            <w:shd w:val="clear" w:color="auto" w:fill="auto"/>
            <w:vAlign w:val="center"/>
          </w:tcPr>
          <w:p w14:paraId="2E979D61">
            <w:pPr>
              <w:jc w:val="center"/>
              <w:rPr>
                <w:rFonts w:hint="eastAsia" w:ascii="宋体" w:hAnsi="宋体"/>
                <w:szCs w:val="21"/>
                <w:lang w:eastAsia="en-US"/>
              </w:rPr>
            </w:pPr>
          </w:p>
        </w:tc>
        <w:tc>
          <w:tcPr>
            <w:tcW w:w="349" w:type="pct"/>
            <w:shd w:val="clear" w:color="auto" w:fill="auto"/>
            <w:vAlign w:val="center"/>
          </w:tcPr>
          <w:p w14:paraId="097D5826">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28AB6F57">
            <w:pPr>
              <w:pStyle w:val="24"/>
              <w:spacing w:line="240" w:lineRule="auto"/>
              <w:ind w:left="0" w:firstLine="0" w:firstLineChars="0"/>
              <w:jc w:val="center"/>
              <w:rPr>
                <w:rFonts w:hint="eastAsia" w:cs="Calibri"/>
                <w:sz w:val="21"/>
                <w:szCs w:val="21"/>
              </w:rPr>
            </w:pPr>
            <w:r>
              <w:rPr>
                <w:rFonts w:hint="eastAsia" w:cs="Calibri"/>
                <w:sz w:val="21"/>
                <w:szCs w:val="21"/>
              </w:rPr>
              <w:t>1</w:t>
            </w:r>
          </w:p>
        </w:tc>
        <w:tc>
          <w:tcPr>
            <w:tcW w:w="384" w:type="pct"/>
            <w:shd w:val="clear" w:color="auto" w:fill="auto"/>
            <w:vAlign w:val="center"/>
          </w:tcPr>
          <w:p w14:paraId="53DB25A9">
            <w:pPr>
              <w:pStyle w:val="24"/>
              <w:spacing w:line="240" w:lineRule="auto"/>
              <w:ind w:left="0" w:firstLine="0" w:firstLineChars="0"/>
              <w:jc w:val="center"/>
              <w:rPr>
                <w:rFonts w:hint="eastAsia" w:cs="Calibri"/>
                <w:sz w:val="21"/>
                <w:szCs w:val="21"/>
                <w:lang w:eastAsia="en-US"/>
              </w:rPr>
            </w:pPr>
            <w:r>
              <w:rPr>
                <w:rFonts w:hint="eastAsia" w:cs="Calibri"/>
                <w:sz w:val="21"/>
                <w:szCs w:val="21"/>
                <w:lang w:val="en-US"/>
              </w:rPr>
              <w:t>20</w:t>
            </w:r>
          </w:p>
        </w:tc>
      </w:tr>
      <w:tr w14:paraId="59196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5F95CEDF">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311" w:type="pct"/>
            <w:shd w:val="clear" w:color="auto" w:fill="auto"/>
            <w:vAlign w:val="center"/>
          </w:tcPr>
          <w:p w14:paraId="112E2E69">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20</w:t>
            </w:r>
          </w:p>
        </w:tc>
        <w:tc>
          <w:tcPr>
            <w:tcW w:w="369" w:type="pct"/>
            <w:shd w:val="clear" w:color="auto" w:fill="auto"/>
            <w:vAlign w:val="center"/>
          </w:tcPr>
          <w:p w14:paraId="33B72D1D">
            <w:pPr>
              <w:pStyle w:val="24"/>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w:t>
            </w:r>
          </w:p>
        </w:tc>
        <w:tc>
          <w:tcPr>
            <w:tcW w:w="378" w:type="pct"/>
            <w:shd w:val="clear" w:color="auto" w:fill="auto"/>
            <w:vAlign w:val="center"/>
          </w:tcPr>
          <w:p w14:paraId="154A8981">
            <w:pPr>
              <w:pStyle w:val="24"/>
              <w:spacing w:line="240" w:lineRule="auto"/>
              <w:ind w:left="0" w:firstLine="0" w:firstLineChars="0"/>
              <w:jc w:val="center"/>
              <w:rPr>
                <w:rFonts w:hint="eastAsia" w:cs="Calibri"/>
                <w:sz w:val="21"/>
                <w:szCs w:val="21"/>
                <w:lang w:eastAsia="en-US"/>
              </w:rPr>
            </w:pPr>
          </w:p>
        </w:tc>
        <w:tc>
          <w:tcPr>
            <w:tcW w:w="674" w:type="pct"/>
            <w:shd w:val="clear" w:color="auto" w:fill="auto"/>
            <w:vAlign w:val="center"/>
          </w:tcPr>
          <w:p w14:paraId="6789D6C7">
            <w:pPr>
              <w:jc w:val="center"/>
              <w:rPr>
                <w:rFonts w:hint="default" w:ascii="宋体" w:hAnsi="宋体" w:eastAsia="宋体"/>
                <w:szCs w:val="21"/>
                <w:lang w:val="en-US" w:eastAsia="zh-CN"/>
              </w:rPr>
            </w:pPr>
            <w:r>
              <w:rPr>
                <w:rFonts w:hint="eastAsia" w:ascii="宋体" w:hAnsi="宋体"/>
                <w:szCs w:val="21"/>
                <w:lang w:val="en-US" w:eastAsia="zh-CN"/>
              </w:rPr>
              <w:t>16</w:t>
            </w:r>
          </w:p>
        </w:tc>
        <w:tc>
          <w:tcPr>
            <w:tcW w:w="622" w:type="pct"/>
            <w:shd w:val="clear" w:color="auto" w:fill="auto"/>
            <w:vAlign w:val="center"/>
          </w:tcPr>
          <w:p w14:paraId="2E0183FC">
            <w:pPr>
              <w:pStyle w:val="24"/>
              <w:spacing w:line="240" w:lineRule="auto"/>
              <w:ind w:left="0" w:firstLine="0" w:firstLineChars="0"/>
              <w:jc w:val="center"/>
              <w:rPr>
                <w:rFonts w:hint="eastAsia" w:cs="Calibri"/>
                <w:sz w:val="21"/>
                <w:szCs w:val="21"/>
                <w:lang w:eastAsia="en-US"/>
              </w:rPr>
            </w:pPr>
          </w:p>
        </w:tc>
        <w:tc>
          <w:tcPr>
            <w:tcW w:w="528" w:type="pct"/>
            <w:shd w:val="clear" w:color="auto" w:fill="auto"/>
            <w:vAlign w:val="center"/>
          </w:tcPr>
          <w:p w14:paraId="0B311F69">
            <w:pPr>
              <w:jc w:val="center"/>
              <w:rPr>
                <w:rFonts w:hint="eastAsia" w:ascii="宋体" w:hAnsi="宋体"/>
                <w:szCs w:val="21"/>
                <w:lang w:eastAsia="en-US"/>
              </w:rPr>
            </w:pPr>
          </w:p>
        </w:tc>
        <w:tc>
          <w:tcPr>
            <w:tcW w:w="743" w:type="pct"/>
            <w:shd w:val="clear" w:color="auto" w:fill="auto"/>
            <w:vAlign w:val="center"/>
          </w:tcPr>
          <w:p w14:paraId="768EAFD8">
            <w:pPr>
              <w:jc w:val="center"/>
              <w:rPr>
                <w:rFonts w:hint="eastAsia" w:ascii="宋体" w:hAnsi="宋体"/>
                <w:szCs w:val="21"/>
                <w:lang w:eastAsia="en-US"/>
              </w:rPr>
            </w:pPr>
          </w:p>
        </w:tc>
        <w:tc>
          <w:tcPr>
            <w:tcW w:w="349" w:type="pct"/>
            <w:shd w:val="clear" w:color="auto" w:fill="auto"/>
            <w:vAlign w:val="center"/>
          </w:tcPr>
          <w:p w14:paraId="5AFCF438">
            <w:pPr>
              <w:pStyle w:val="24"/>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363" w:type="pct"/>
            <w:shd w:val="clear" w:color="auto" w:fill="auto"/>
            <w:vAlign w:val="center"/>
          </w:tcPr>
          <w:p w14:paraId="3531E0D6">
            <w:pPr>
              <w:pStyle w:val="24"/>
              <w:spacing w:line="240" w:lineRule="auto"/>
              <w:ind w:left="0" w:firstLine="0" w:firstLineChars="0"/>
              <w:jc w:val="center"/>
              <w:rPr>
                <w:rFonts w:hint="eastAsia" w:cs="Calibri"/>
                <w:sz w:val="21"/>
                <w:szCs w:val="21"/>
              </w:rPr>
            </w:pPr>
          </w:p>
        </w:tc>
        <w:tc>
          <w:tcPr>
            <w:tcW w:w="384" w:type="pct"/>
            <w:shd w:val="clear" w:color="auto" w:fill="auto"/>
            <w:vAlign w:val="center"/>
          </w:tcPr>
          <w:p w14:paraId="558B3913">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20</w:t>
            </w:r>
          </w:p>
        </w:tc>
      </w:tr>
      <w:tr w14:paraId="65105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0" w:type="pct"/>
            <w:shd w:val="clear" w:color="auto" w:fill="auto"/>
            <w:vAlign w:val="center"/>
          </w:tcPr>
          <w:p w14:paraId="3E3ABADE">
            <w:pPr>
              <w:jc w:val="center"/>
              <w:rPr>
                <w:rFonts w:hint="eastAsia"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311" w:type="pct"/>
            <w:shd w:val="clear" w:color="auto" w:fill="auto"/>
            <w:vAlign w:val="center"/>
          </w:tcPr>
          <w:p w14:paraId="6E1FBB6D">
            <w:pPr>
              <w:pStyle w:val="24"/>
              <w:spacing w:line="240" w:lineRule="auto"/>
              <w:ind w:left="0" w:firstLine="0" w:firstLineChars="0"/>
              <w:jc w:val="center"/>
              <w:rPr>
                <w:rFonts w:hint="eastAsia" w:cs="Calibri"/>
                <w:sz w:val="21"/>
                <w:szCs w:val="21"/>
                <w:lang w:val="en-US"/>
              </w:rPr>
            </w:pPr>
            <w:r>
              <w:rPr>
                <w:rFonts w:hint="eastAsia" w:cs="Calibri"/>
                <w:sz w:val="21"/>
                <w:szCs w:val="21"/>
                <w:lang w:val="en-US"/>
              </w:rPr>
              <w:t>20</w:t>
            </w:r>
          </w:p>
        </w:tc>
        <w:tc>
          <w:tcPr>
            <w:tcW w:w="369" w:type="pct"/>
            <w:shd w:val="clear" w:color="auto" w:fill="auto"/>
            <w:vAlign w:val="center"/>
          </w:tcPr>
          <w:p w14:paraId="52662A33">
            <w:pPr>
              <w:pStyle w:val="24"/>
              <w:ind w:left="0" w:firstLine="0" w:firstLineChars="0"/>
              <w:jc w:val="center"/>
              <w:rPr>
                <w:rFonts w:hint="default" w:eastAsia="宋体"/>
                <w:sz w:val="21"/>
                <w:szCs w:val="21"/>
                <w:lang w:val="en-US" w:eastAsia="zh-CN"/>
              </w:rPr>
            </w:pPr>
            <w:r>
              <w:rPr>
                <w:rFonts w:hint="eastAsia"/>
                <w:sz w:val="21"/>
                <w:szCs w:val="21"/>
                <w:lang w:val="en-US" w:eastAsia="zh-CN"/>
              </w:rPr>
              <w:t>0</w:t>
            </w:r>
          </w:p>
        </w:tc>
        <w:tc>
          <w:tcPr>
            <w:tcW w:w="378" w:type="pct"/>
            <w:shd w:val="clear" w:color="auto" w:fill="auto"/>
            <w:vAlign w:val="center"/>
          </w:tcPr>
          <w:p w14:paraId="346DCC0E">
            <w:pPr>
              <w:jc w:val="center"/>
              <w:rPr>
                <w:rFonts w:hint="eastAsia" w:ascii="宋体" w:hAnsi="宋体"/>
                <w:szCs w:val="21"/>
                <w:lang w:eastAsia="en-US"/>
              </w:rPr>
            </w:pPr>
          </w:p>
        </w:tc>
        <w:tc>
          <w:tcPr>
            <w:tcW w:w="674" w:type="pct"/>
            <w:shd w:val="clear" w:color="auto" w:fill="auto"/>
            <w:vAlign w:val="center"/>
          </w:tcPr>
          <w:p w14:paraId="733A13A5">
            <w:pPr>
              <w:jc w:val="center"/>
              <w:rPr>
                <w:rFonts w:hint="eastAsia" w:ascii="宋体" w:hAnsi="宋体"/>
                <w:szCs w:val="21"/>
                <w:lang w:eastAsia="en-US"/>
              </w:rPr>
            </w:pPr>
          </w:p>
        </w:tc>
        <w:tc>
          <w:tcPr>
            <w:tcW w:w="622" w:type="pct"/>
            <w:shd w:val="clear" w:color="auto" w:fill="auto"/>
            <w:vAlign w:val="center"/>
          </w:tcPr>
          <w:p w14:paraId="161083A0">
            <w:pPr>
              <w:jc w:val="center"/>
              <w:rPr>
                <w:rFonts w:hint="eastAsia" w:ascii="宋体" w:hAnsi="宋体"/>
                <w:szCs w:val="21"/>
                <w:lang w:eastAsia="en-US"/>
              </w:rPr>
            </w:pPr>
          </w:p>
        </w:tc>
        <w:tc>
          <w:tcPr>
            <w:tcW w:w="528" w:type="pct"/>
            <w:shd w:val="clear" w:color="auto" w:fill="auto"/>
            <w:vAlign w:val="center"/>
          </w:tcPr>
          <w:p w14:paraId="12964D25">
            <w:pPr>
              <w:ind w:firstLine="210" w:firstLineChars="100"/>
              <w:rPr>
                <w:rFonts w:hint="eastAsia" w:ascii="宋体" w:hAnsi="宋体"/>
                <w:szCs w:val="21"/>
                <w:lang w:eastAsia="en-US"/>
              </w:rPr>
            </w:pPr>
          </w:p>
        </w:tc>
        <w:tc>
          <w:tcPr>
            <w:tcW w:w="743" w:type="pct"/>
            <w:shd w:val="clear" w:color="auto" w:fill="auto"/>
            <w:vAlign w:val="center"/>
          </w:tcPr>
          <w:p w14:paraId="2B1A4AE0">
            <w:pPr>
              <w:pStyle w:val="24"/>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c>
          <w:tcPr>
            <w:tcW w:w="349" w:type="pct"/>
            <w:shd w:val="clear" w:color="auto" w:fill="auto"/>
            <w:vAlign w:val="center"/>
          </w:tcPr>
          <w:p w14:paraId="2AB74353">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539E99B9">
            <w:pPr>
              <w:pStyle w:val="24"/>
              <w:spacing w:line="240" w:lineRule="auto"/>
              <w:ind w:left="0" w:firstLine="0" w:firstLineChars="0"/>
              <w:jc w:val="center"/>
              <w:rPr>
                <w:rFonts w:hint="eastAsia" w:cs="Calibri"/>
                <w:sz w:val="21"/>
                <w:szCs w:val="21"/>
                <w:lang w:val="en-US"/>
              </w:rPr>
            </w:pPr>
          </w:p>
        </w:tc>
        <w:tc>
          <w:tcPr>
            <w:tcW w:w="384" w:type="pct"/>
            <w:shd w:val="clear" w:color="auto" w:fill="auto"/>
            <w:vAlign w:val="center"/>
          </w:tcPr>
          <w:p w14:paraId="067C2E7E">
            <w:pPr>
              <w:pStyle w:val="24"/>
              <w:spacing w:line="240" w:lineRule="auto"/>
              <w:ind w:left="0" w:firstLine="0" w:firstLineChars="0"/>
              <w:jc w:val="center"/>
              <w:rPr>
                <w:rFonts w:hint="eastAsia" w:cs="Calibri"/>
                <w:sz w:val="21"/>
                <w:szCs w:val="21"/>
                <w:lang w:val="en-US" w:eastAsia="en-US"/>
              </w:rPr>
            </w:pPr>
            <w:r>
              <w:rPr>
                <w:rFonts w:hint="eastAsia" w:cs="Calibri"/>
                <w:sz w:val="21"/>
                <w:szCs w:val="21"/>
                <w:lang w:val="en-US"/>
              </w:rPr>
              <w:t>20</w:t>
            </w:r>
          </w:p>
        </w:tc>
      </w:tr>
      <w:tr w14:paraId="6F1B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1" w:type="pct"/>
            <w:gridSpan w:val="2"/>
            <w:shd w:val="clear" w:color="auto" w:fill="auto"/>
            <w:vAlign w:val="center"/>
          </w:tcPr>
          <w:p w14:paraId="3F7C6CE5">
            <w:pPr>
              <w:pStyle w:val="24"/>
              <w:spacing w:line="240" w:lineRule="auto"/>
              <w:ind w:left="0" w:firstLine="0" w:firstLineChars="0"/>
              <w:jc w:val="center"/>
              <w:rPr>
                <w:rFonts w:hint="eastAsia" w:cs="Microsoft JhengHei"/>
                <w:sz w:val="21"/>
                <w:szCs w:val="21"/>
                <w:lang w:eastAsia="en-US"/>
              </w:rPr>
            </w:pPr>
            <w:r>
              <w:rPr>
                <w:rFonts w:hint="eastAsia" w:cs="Microsoft JhengHei"/>
                <w:b/>
                <w:bCs/>
                <w:spacing w:val="3"/>
                <w:w w:val="90"/>
                <w:sz w:val="21"/>
                <w:szCs w:val="21"/>
              </w:rPr>
              <w:t>合计（周）</w:t>
            </w:r>
          </w:p>
        </w:tc>
        <w:tc>
          <w:tcPr>
            <w:tcW w:w="369" w:type="pct"/>
            <w:shd w:val="clear" w:color="auto" w:fill="auto"/>
            <w:vAlign w:val="center"/>
          </w:tcPr>
          <w:p w14:paraId="236A5546">
            <w:pPr>
              <w:pStyle w:val="24"/>
              <w:spacing w:line="240" w:lineRule="auto"/>
              <w:ind w:left="0" w:firstLine="0" w:firstLineChars="0"/>
              <w:jc w:val="center"/>
              <w:rPr>
                <w:rFonts w:hint="eastAsia" w:cs="Calibri"/>
                <w:sz w:val="21"/>
                <w:szCs w:val="21"/>
                <w:lang w:eastAsia="en-US"/>
              </w:rPr>
            </w:pPr>
          </w:p>
        </w:tc>
        <w:tc>
          <w:tcPr>
            <w:tcW w:w="378" w:type="pct"/>
            <w:shd w:val="clear" w:color="auto" w:fill="auto"/>
            <w:vAlign w:val="center"/>
          </w:tcPr>
          <w:p w14:paraId="41562E3B">
            <w:pPr>
              <w:pStyle w:val="24"/>
              <w:spacing w:line="240" w:lineRule="auto"/>
              <w:ind w:left="0" w:firstLine="0" w:firstLineChars="0"/>
              <w:jc w:val="center"/>
              <w:rPr>
                <w:rFonts w:hint="eastAsia" w:cs="Calibri"/>
                <w:sz w:val="21"/>
                <w:szCs w:val="21"/>
                <w:lang w:eastAsia="en-US"/>
              </w:rPr>
            </w:pPr>
          </w:p>
        </w:tc>
        <w:tc>
          <w:tcPr>
            <w:tcW w:w="674" w:type="pct"/>
            <w:shd w:val="clear" w:color="auto" w:fill="auto"/>
            <w:vAlign w:val="center"/>
          </w:tcPr>
          <w:p w14:paraId="22385212">
            <w:pPr>
              <w:jc w:val="center"/>
              <w:rPr>
                <w:rFonts w:hint="eastAsia" w:ascii="宋体" w:hAnsi="宋体"/>
                <w:szCs w:val="21"/>
                <w:lang w:eastAsia="en-US"/>
              </w:rPr>
            </w:pPr>
          </w:p>
        </w:tc>
        <w:tc>
          <w:tcPr>
            <w:tcW w:w="622" w:type="pct"/>
            <w:shd w:val="clear" w:color="auto" w:fill="auto"/>
            <w:vAlign w:val="center"/>
          </w:tcPr>
          <w:p w14:paraId="65B13EB3">
            <w:pPr>
              <w:pStyle w:val="24"/>
              <w:spacing w:line="240" w:lineRule="auto"/>
              <w:ind w:left="0" w:firstLine="0" w:firstLineChars="0"/>
              <w:jc w:val="center"/>
              <w:rPr>
                <w:rFonts w:hint="eastAsia" w:cs="Calibri"/>
                <w:sz w:val="21"/>
                <w:szCs w:val="21"/>
                <w:lang w:eastAsia="en-US"/>
              </w:rPr>
            </w:pPr>
          </w:p>
        </w:tc>
        <w:tc>
          <w:tcPr>
            <w:tcW w:w="528" w:type="pct"/>
            <w:shd w:val="clear" w:color="auto" w:fill="auto"/>
            <w:vAlign w:val="center"/>
          </w:tcPr>
          <w:p w14:paraId="5BBF41C7">
            <w:pPr>
              <w:jc w:val="center"/>
              <w:rPr>
                <w:rFonts w:hint="eastAsia" w:ascii="宋体" w:hAnsi="宋体"/>
                <w:szCs w:val="21"/>
                <w:lang w:eastAsia="en-US"/>
              </w:rPr>
            </w:pPr>
          </w:p>
        </w:tc>
        <w:tc>
          <w:tcPr>
            <w:tcW w:w="743" w:type="pct"/>
            <w:shd w:val="clear" w:color="auto" w:fill="auto"/>
            <w:vAlign w:val="center"/>
          </w:tcPr>
          <w:p w14:paraId="534B4695">
            <w:pPr>
              <w:pStyle w:val="24"/>
              <w:spacing w:line="240" w:lineRule="auto"/>
              <w:ind w:left="0" w:firstLine="0" w:firstLineChars="0"/>
              <w:jc w:val="center"/>
              <w:rPr>
                <w:rFonts w:hint="eastAsia" w:cs="Calibri"/>
                <w:sz w:val="21"/>
                <w:szCs w:val="21"/>
                <w:lang w:eastAsia="en-US"/>
              </w:rPr>
            </w:pPr>
          </w:p>
        </w:tc>
        <w:tc>
          <w:tcPr>
            <w:tcW w:w="349" w:type="pct"/>
            <w:shd w:val="clear" w:color="auto" w:fill="auto"/>
            <w:vAlign w:val="center"/>
          </w:tcPr>
          <w:p w14:paraId="09DFB36D">
            <w:pPr>
              <w:pStyle w:val="24"/>
              <w:spacing w:line="240" w:lineRule="auto"/>
              <w:ind w:left="0" w:firstLine="0" w:firstLineChars="0"/>
              <w:jc w:val="center"/>
              <w:rPr>
                <w:rFonts w:hint="eastAsia" w:cs="Calibri"/>
                <w:sz w:val="21"/>
                <w:szCs w:val="21"/>
                <w:lang w:eastAsia="en-US"/>
              </w:rPr>
            </w:pPr>
          </w:p>
        </w:tc>
        <w:tc>
          <w:tcPr>
            <w:tcW w:w="363" w:type="pct"/>
            <w:shd w:val="clear" w:color="auto" w:fill="auto"/>
            <w:vAlign w:val="center"/>
          </w:tcPr>
          <w:p w14:paraId="65F30249">
            <w:pPr>
              <w:pStyle w:val="24"/>
              <w:spacing w:line="240" w:lineRule="auto"/>
              <w:ind w:left="0" w:firstLine="0" w:firstLineChars="0"/>
              <w:jc w:val="center"/>
              <w:rPr>
                <w:rFonts w:hint="eastAsia" w:cs="Calibri"/>
                <w:sz w:val="21"/>
                <w:szCs w:val="21"/>
                <w:lang w:eastAsia="en-US"/>
              </w:rPr>
            </w:pPr>
          </w:p>
        </w:tc>
        <w:tc>
          <w:tcPr>
            <w:tcW w:w="384" w:type="pct"/>
            <w:shd w:val="clear" w:color="auto" w:fill="auto"/>
            <w:vAlign w:val="center"/>
          </w:tcPr>
          <w:p w14:paraId="36AB925F">
            <w:pPr>
              <w:pStyle w:val="24"/>
              <w:spacing w:line="240" w:lineRule="auto"/>
              <w:ind w:left="0" w:firstLine="0" w:firstLineChars="0"/>
              <w:jc w:val="center"/>
              <w:rPr>
                <w:rFonts w:hint="eastAsia" w:cs="Calibri"/>
                <w:sz w:val="21"/>
                <w:szCs w:val="21"/>
                <w:lang w:eastAsia="en-US"/>
              </w:rPr>
            </w:pPr>
          </w:p>
        </w:tc>
      </w:tr>
    </w:tbl>
    <w:p w14:paraId="7D4ABEA9">
      <w:pPr>
        <w:keepNext w:val="0"/>
        <w:keepLines w:val="0"/>
        <w:pageBreakBefore w:val="0"/>
        <w:widowControl w:val="0"/>
        <w:kinsoku/>
        <w:wordWrap/>
        <w:overflowPunct/>
        <w:topLinePunct w:val="0"/>
        <w:autoSpaceDE/>
        <w:autoSpaceDN/>
        <w:bidi w:val="0"/>
        <w:adjustRightInd w:val="0"/>
        <w:snapToGrid w:val="0"/>
        <w:spacing w:before="313" w:beforeLines="100" w:line="360" w:lineRule="auto"/>
        <w:ind w:firstLine="482" w:firstLineChars="200"/>
        <w:jc w:val="left"/>
        <w:textAlignment w:val="auto"/>
        <w:outlineLvl w:val="1"/>
        <w:rPr>
          <w:rFonts w:hint="eastAsia" w:ascii="宋体" w:hAnsi="宋体" w:cs="Angsana New"/>
          <w:b/>
          <w:sz w:val="24"/>
          <w:szCs w:val="24"/>
          <w:lang w:bidi="th-TH"/>
        </w:rPr>
      </w:pPr>
      <w:r>
        <w:rPr>
          <w:rFonts w:hint="eastAsia" w:ascii="宋体" w:hAnsi="宋体" w:cs="Angsana New"/>
          <w:b/>
          <w:sz w:val="24"/>
          <w:szCs w:val="24"/>
          <w:lang w:bidi="th-TH"/>
        </w:rPr>
        <w:t>（六）教学进程表</w:t>
      </w:r>
    </w:p>
    <w:p w14:paraId="37814751">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详见附件“专业教学进程安排表”</w:t>
      </w:r>
    </w:p>
    <w:p w14:paraId="7599B3E2">
      <w:pPr>
        <w:adjustRightInd w:val="0"/>
        <w:snapToGrid w:val="0"/>
        <w:spacing w:line="360" w:lineRule="auto"/>
        <w:ind w:firstLine="560" w:firstLineChars="200"/>
        <w:outlineLvl w:val="0"/>
        <w:rPr>
          <w:rFonts w:hint="eastAsia" w:ascii="黑体" w:hAnsi="黑体" w:eastAsia="黑体" w:cs="Angsana New"/>
          <w:sz w:val="28"/>
          <w:szCs w:val="28"/>
          <w:lang w:bidi="th-TH"/>
        </w:rPr>
      </w:pPr>
      <w:r>
        <w:rPr>
          <w:rFonts w:hint="eastAsia" w:ascii="黑体" w:hAnsi="黑体" w:eastAsia="黑体" w:cs="Angsana New"/>
          <w:sz w:val="28"/>
          <w:szCs w:val="28"/>
          <w:lang w:bidi="th-TH"/>
        </w:rPr>
        <w:t>七、毕业要求</w:t>
      </w:r>
    </w:p>
    <w:p w14:paraId="2496CD8E">
      <w:pPr>
        <w:adjustRightInd w:val="0"/>
        <w:snapToGrid w:val="0"/>
        <w:spacing w:before="1" w:line="360" w:lineRule="auto"/>
        <w:ind w:left="60" w:right="31" w:firstLine="548"/>
        <w:rPr>
          <w:rFonts w:ascii="宋体" w:cs="Angsana New"/>
          <w:sz w:val="24"/>
          <w:szCs w:val="24"/>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140学分，公共基础课程学分不低于52学分，其中文化素养课程学分不低于4</w:t>
      </w:r>
      <w:r>
        <w:rPr>
          <w:rFonts w:ascii="宋体" w:cs="Angsana New"/>
          <w:sz w:val="24"/>
          <w:szCs w:val="24"/>
          <w:lang w:bidi="th-TH"/>
        </w:rPr>
        <w:t>4</w:t>
      </w:r>
      <w:r>
        <w:rPr>
          <w:rFonts w:hint="eastAsia" w:ascii="宋体" w:cs="Angsana New"/>
          <w:sz w:val="24"/>
          <w:szCs w:val="24"/>
          <w:lang w:bidi="th-TH"/>
        </w:rPr>
        <w:t>学分；专业（技能）课程学分不低于88学分，其中专业拓展选修课程学分不低于</w:t>
      </w:r>
      <w:r>
        <w:rPr>
          <w:rFonts w:ascii="宋体" w:cs="Angsana New"/>
          <w:sz w:val="24"/>
          <w:szCs w:val="24"/>
          <w:lang w:bidi="th-TH"/>
        </w:rPr>
        <w:t>10</w:t>
      </w:r>
      <w:r>
        <w:rPr>
          <w:rFonts w:hint="eastAsia" w:ascii="宋体" w:cs="Angsana New"/>
          <w:sz w:val="24"/>
          <w:szCs w:val="24"/>
          <w:lang w:bidi="th-TH"/>
        </w:rPr>
        <w:t>学分，至少获取职业面向职业类证书中的一种并符合学校有关管理规定的要求，即可毕业。</w:t>
      </w:r>
    </w:p>
    <w:p w14:paraId="48587C27">
      <w:pPr>
        <w:adjustRightInd w:val="0"/>
        <w:snapToGrid w:val="0"/>
        <w:spacing w:line="360" w:lineRule="auto"/>
        <w:ind w:firstLine="560" w:firstLineChars="200"/>
        <w:outlineLvl w:val="0"/>
        <w:rPr>
          <w:rFonts w:hint="eastAsia" w:ascii="黑体" w:hAnsi="黑体" w:eastAsia="黑体" w:cs="Angsana New"/>
          <w:sz w:val="28"/>
          <w:szCs w:val="28"/>
          <w:lang w:bidi="th-TH"/>
        </w:rPr>
      </w:pPr>
      <w:r>
        <w:rPr>
          <w:rFonts w:hint="eastAsia" w:ascii="黑体" w:hAnsi="黑体" w:eastAsia="黑体" w:cs="Angsana New"/>
          <w:sz w:val="28"/>
          <w:szCs w:val="28"/>
          <w:lang w:bidi="th-TH"/>
        </w:rPr>
        <w:t>八、实施保障</w:t>
      </w:r>
    </w:p>
    <w:p w14:paraId="059FCD85">
      <w:pPr>
        <w:adjustRightInd w:val="0"/>
        <w:snapToGrid w:val="0"/>
        <w:spacing w:line="360" w:lineRule="auto"/>
        <w:ind w:firstLine="482" w:firstLineChars="200"/>
        <w:jc w:val="left"/>
        <w:outlineLvl w:val="1"/>
        <w:rPr>
          <w:rFonts w:ascii="宋体" w:cs="Angsana New"/>
          <w:b/>
          <w:sz w:val="24"/>
          <w:szCs w:val="24"/>
          <w:lang w:bidi="th-TH"/>
        </w:rPr>
      </w:pPr>
      <w:r>
        <w:rPr>
          <w:rFonts w:hint="eastAsia" w:ascii="宋体" w:hAnsi="宋体" w:cs="Angsana New"/>
          <w:b/>
          <w:sz w:val="24"/>
          <w:szCs w:val="24"/>
          <w:lang w:bidi="th-TH"/>
        </w:rPr>
        <w:t>（一）师资队伍</w:t>
      </w:r>
    </w:p>
    <w:p w14:paraId="5E9C29A0">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按照“四有好老师”“四个相统一”“四个引路人”的要求建设专业教师队伍，将师德师风作为教师队伍建设的第一标准。</w:t>
      </w:r>
    </w:p>
    <w:p w14:paraId="27F5D5D0">
      <w:pPr>
        <w:spacing w:line="360" w:lineRule="auto"/>
        <w:ind w:left="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1D185B9D">
      <w:pPr>
        <w:spacing w:line="360" w:lineRule="auto"/>
        <w:ind w:firstLine="480"/>
        <w:rPr>
          <w:rFonts w:ascii="宋体" w:cs="Angsana New"/>
          <w:sz w:val="24"/>
          <w:szCs w:val="24"/>
          <w:lang w:bidi="th-TH"/>
        </w:rPr>
      </w:pPr>
      <w:r>
        <w:rPr>
          <w:rFonts w:hint="eastAsia" w:ascii="宋体" w:cs="Angsana New"/>
          <w:sz w:val="24"/>
          <w:szCs w:val="24"/>
          <w:lang w:bidi="th-TH"/>
        </w:rPr>
        <w:t>专任专业教师与在籍学生之比不低于1﹕25，双师素质教师人数一般不低于专任专业教师总数的60%。专任教师队伍考虑职称、年龄，</w:t>
      </w:r>
      <w:r>
        <w:rPr>
          <w:rFonts w:hint="eastAsia" w:asciiTheme="minorEastAsia" w:hAnsiTheme="minorEastAsia" w:eastAsiaTheme="minorEastAsia"/>
          <w:sz w:val="24"/>
          <w:szCs w:val="24"/>
        </w:rPr>
        <w:t>形成合理的梯队结构。本专业研究生以上学历比例</w:t>
      </w:r>
      <w:r>
        <w:rPr>
          <w:rFonts w:hint="eastAsia" w:asciiTheme="minorEastAsia" w:hAnsiTheme="minorEastAsia" w:eastAsiaTheme="minorEastAsia"/>
          <w:sz w:val="24"/>
          <w:szCs w:val="24"/>
          <w:lang w:val="en-US" w:eastAsia="zh-CN"/>
        </w:rPr>
        <w:t>80</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以上</w:t>
      </w:r>
      <w:r>
        <w:rPr>
          <w:rFonts w:hint="eastAsia" w:asciiTheme="minorEastAsia" w:hAnsiTheme="minorEastAsia" w:eastAsiaTheme="minorEastAsia"/>
          <w:sz w:val="24"/>
          <w:szCs w:val="24"/>
        </w:rPr>
        <w:t>，高级职称比例</w:t>
      </w:r>
      <w:r>
        <w:rPr>
          <w:rFonts w:hint="eastAsia" w:asciiTheme="minorEastAsia" w:hAnsiTheme="minorEastAsia" w:eastAsiaTheme="minorEastAsia"/>
          <w:sz w:val="24"/>
          <w:szCs w:val="24"/>
          <w:lang w:val="en-US" w:eastAsia="zh-CN"/>
        </w:rPr>
        <w:t>20</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以上</w:t>
      </w:r>
      <w:r>
        <w:rPr>
          <w:rFonts w:hint="eastAsia" w:asciiTheme="minorEastAsia" w:hAnsiTheme="minorEastAsia" w:eastAsiaTheme="minorEastAsia"/>
          <w:sz w:val="24"/>
          <w:szCs w:val="24"/>
        </w:rPr>
        <w:t>，中级职称比例</w:t>
      </w:r>
      <w:r>
        <w:rPr>
          <w:rFonts w:hint="eastAsia" w:asciiTheme="minorEastAsia" w:hAnsiTheme="minorEastAsia" w:eastAsiaTheme="minorEastAsia"/>
          <w:sz w:val="24"/>
          <w:szCs w:val="24"/>
          <w:lang w:val="en-US" w:eastAsia="zh-CN"/>
        </w:rPr>
        <w:t>50</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以上</w:t>
      </w:r>
      <w:r>
        <w:rPr>
          <w:rFonts w:hint="eastAsia" w:asciiTheme="minorEastAsia" w:hAnsiTheme="minorEastAsia" w:eastAsiaTheme="minorEastAsia"/>
          <w:sz w:val="24"/>
          <w:szCs w:val="24"/>
        </w:rPr>
        <w:t>。</w:t>
      </w:r>
    </w:p>
    <w:p w14:paraId="4A7F61B6">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13D46E7E">
      <w:pPr>
        <w:snapToGrid w:val="0"/>
        <w:spacing w:before="120" w:line="360" w:lineRule="auto"/>
        <w:ind w:firstLine="480" w:firstLineChars="200"/>
        <w:rPr>
          <w:rFonts w:hint="eastAsia" w:asciiTheme="minorEastAsia" w:hAnsiTheme="minorEastAsia" w:eastAsiaTheme="minorEastAsia"/>
          <w:sz w:val="24"/>
          <w:szCs w:val="24"/>
        </w:rPr>
      </w:pPr>
      <w:r>
        <w:rPr>
          <w:rFonts w:hint="eastAsia" w:ascii="宋体" w:cs="Angsana New"/>
          <w:sz w:val="24"/>
          <w:szCs w:val="24"/>
          <w:lang w:bidi="th-TH"/>
        </w:rPr>
        <w:t>专业带头人原则上应具有副高及以上职称，能较好地把握国内外行业、专业发展，能广泛联系行业企业，了解行业企业对本专业人才需求的实际，教学设计、专业研究能力强，组织开展教科研能力强，在本区域或本领域具有一定的专业影响力。</w:t>
      </w:r>
    </w:p>
    <w:p w14:paraId="579F966A">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205A34A8">
      <w:pPr>
        <w:adjustRightInd w:val="0"/>
        <w:snapToGrid w:val="0"/>
        <w:spacing w:line="360" w:lineRule="auto"/>
        <w:ind w:firstLine="482"/>
        <w:rPr>
          <w:rFonts w:hint="eastAsia" w:asciiTheme="minorEastAsia" w:hAnsiTheme="minorEastAsia" w:eastAsiaTheme="minorEastAsia"/>
          <w:sz w:val="24"/>
          <w:szCs w:val="24"/>
        </w:rPr>
      </w:pPr>
      <w:r>
        <w:rPr>
          <w:rFonts w:hint="eastAsia" w:ascii="宋体" w:cs="Angsana New"/>
          <w:sz w:val="24"/>
          <w:szCs w:val="24"/>
          <w:lang w:bidi="th-TH"/>
        </w:rPr>
        <w:t>专任教师有理想信念、有道德情操、有扎实学识、有仁爱之心；具有高校教师资格和本专业领域有关证书；具有</w:t>
      </w:r>
      <w:r>
        <w:rPr>
          <w:rFonts w:hint="eastAsia" w:ascii="宋体" w:cs="Angsana New"/>
          <w:sz w:val="24"/>
          <w:szCs w:val="24"/>
          <w:lang w:val="en-US" w:eastAsia="zh-CN" w:bidi="th-TH"/>
        </w:rPr>
        <w:t>财务会计</w:t>
      </w:r>
      <w:r>
        <w:rPr>
          <w:rFonts w:hint="eastAsia" w:ascii="宋体" w:cs="Angsana New"/>
          <w:sz w:val="24"/>
          <w:szCs w:val="24"/>
          <w:lang w:bidi="th-TH"/>
        </w:rPr>
        <w:t>相关专业本科及以上学历；具有扎实的本专业相关理论功底和实践能力；具有较强的信息化教学能力，能够开展课程教</w:t>
      </w:r>
      <w:r>
        <w:rPr>
          <w:rFonts w:hint="eastAsia" w:asciiTheme="minorEastAsia" w:hAnsiTheme="minorEastAsia" w:eastAsiaTheme="minorEastAsia"/>
          <w:sz w:val="24"/>
          <w:szCs w:val="24"/>
        </w:rPr>
        <w:t>学改革和科学研究；每5年累计不少于6个月的企业实践经历。</w:t>
      </w:r>
    </w:p>
    <w:p w14:paraId="623FA210">
      <w:pPr>
        <w:adjustRightInd w:val="0"/>
        <w:snapToGrid w:val="0"/>
        <w:spacing w:line="360" w:lineRule="auto"/>
        <w:ind w:firstLine="482"/>
        <w:rPr>
          <w:rFonts w:hint="eastAsia" w:asciiTheme="minorEastAsia" w:hAnsiTheme="minorEastAsia" w:eastAsiaTheme="minorEastAsia"/>
          <w:sz w:val="24"/>
          <w:szCs w:val="24"/>
        </w:rPr>
      </w:pPr>
      <w:r>
        <w:rPr>
          <w:rFonts w:asciiTheme="minorEastAsia" w:hAnsiTheme="minorEastAsia" w:eastAsiaTheme="minorEastAsia"/>
          <w:sz w:val="24"/>
          <w:szCs w:val="24"/>
        </w:rPr>
        <w:t>4</w:t>
      </w:r>
      <w:r>
        <w:rPr>
          <w:rFonts w:hint="eastAsia" w:asciiTheme="minorEastAsia" w:hAnsiTheme="minorEastAsia" w:eastAsiaTheme="minorEastAsia"/>
          <w:sz w:val="24"/>
          <w:szCs w:val="24"/>
        </w:rPr>
        <w:t>.兼职教师要求</w:t>
      </w:r>
    </w:p>
    <w:p w14:paraId="3E3917EE">
      <w:pPr>
        <w:adjustRightInd w:val="0"/>
        <w:snapToGrid w:val="0"/>
        <w:spacing w:line="360" w:lineRule="auto"/>
        <w:ind w:firstLine="482"/>
        <w:rPr>
          <w:rFonts w:ascii="宋体" w:cs="Angsana New"/>
          <w:sz w:val="24"/>
          <w:szCs w:val="24"/>
          <w:lang w:bidi="th-TH"/>
        </w:rPr>
      </w:pPr>
      <w:r>
        <w:rPr>
          <w:rFonts w:hint="eastAsia" w:asciiTheme="minorEastAsia" w:hAnsiTheme="minorEastAsia" w:eastAsiaTheme="minorEastAsia"/>
          <w:sz w:val="24"/>
          <w:szCs w:val="24"/>
        </w:rPr>
        <w:t>兼职教师从本专业相关的行业企业聘任，具备良好的思想政治素质、职业道德和工匠精神，具有扎实的专业知识和丰富的实际工作经验，能承担专业课程教学、实习实训指导和学生职业发展规划等教学任务。</w:t>
      </w:r>
    </w:p>
    <w:p w14:paraId="2F57D051">
      <w:pPr>
        <w:adjustRightInd w:val="0"/>
        <w:snapToGrid w:val="0"/>
        <w:spacing w:line="360" w:lineRule="auto"/>
        <w:ind w:firstLine="482" w:firstLineChars="200"/>
        <w:jc w:val="left"/>
        <w:outlineLvl w:val="1"/>
        <w:rPr>
          <w:rFonts w:ascii="宋体" w:cs="Angsana New"/>
          <w:b/>
          <w:sz w:val="24"/>
          <w:szCs w:val="24"/>
          <w:lang w:bidi="th-TH"/>
        </w:rPr>
      </w:pPr>
      <w:r>
        <w:rPr>
          <w:rFonts w:hint="eastAsia" w:ascii="宋体" w:hAnsi="宋体" w:cs="Angsana New"/>
          <w:b/>
          <w:sz w:val="24"/>
          <w:szCs w:val="24"/>
          <w:lang w:bidi="th-TH"/>
        </w:rPr>
        <w:t>（二）教学设施</w:t>
      </w:r>
    </w:p>
    <w:p w14:paraId="56DF7882">
      <w:pPr>
        <w:adjustRightInd w:val="0"/>
        <w:snapToGrid w:val="0"/>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主要包括能够满足正常的课程教学、实习实训所必需的专业教室、实训室和实习基地。专业教室一般都配备黑（白）板、多媒体计算机、投影设备、音响设备，互联网接入或WiFi环境，并实施网络安全防护措施；安装应急照明装置并保持良好状态，符合紧急疏散要求，标志明显，保持逃生通道畅通无阻。本专业</w:t>
      </w:r>
      <w:r>
        <w:rPr>
          <w:rFonts w:asciiTheme="minorEastAsia" w:hAnsiTheme="minorEastAsia" w:eastAsiaTheme="minorEastAsia"/>
          <w:sz w:val="24"/>
          <w:szCs w:val="24"/>
        </w:rPr>
        <w:t>普通教室</w:t>
      </w:r>
      <w:r>
        <w:rPr>
          <w:rFonts w:hint="eastAsia" w:asciiTheme="minorEastAsia" w:hAnsiTheme="minorEastAsia" w:eastAsiaTheme="minorEastAsia"/>
          <w:sz w:val="24"/>
          <w:szCs w:val="24"/>
        </w:rPr>
        <w:t>间数10、</w:t>
      </w:r>
      <w:r>
        <w:rPr>
          <w:rFonts w:asciiTheme="minorEastAsia" w:hAnsiTheme="minorEastAsia" w:eastAsiaTheme="minorEastAsia"/>
          <w:sz w:val="24"/>
          <w:szCs w:val="24"/>
        </w:rPr>
        <w:t>多媒体教室</w:t>
      </w:r>
      <w:r>
        <w:rPr>
          <w:rFonts w:hint="eastAsia" w:asciiTheme="minorEastAsia" w:hAnsiTheme="minorEastAsia" w:eastAsiaTheme="minorEastAsia"/>
          <w:sz w:val="24"/>
          <w:szCs w:val="24"/>
        </w:rPr>
        <w:t>间数50；校内实训基地数6个、校内实训工位数600个；校外实训基地数7个。</w:t>
      </w:r>
    </w:p>
    <w:p w14:paraId="561EFF32">
      <w:pPr>
        <w:adjustRightInd w:val="0"/>
        <w:snapToGrid w:val="0"/>
        <w:spacing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7E31178C">
      <w:pPr>
        <w:adjustRightInd w:val="0"/>
        <w:snapToGrid w:val="0"/>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在实训场所墙壁布置实训岗位职责划分及实训内容、项目实训流程及技术要求、实训设备操作方法及注意事项，融入大国工匠精神等课程思政精神内容。</w:t>
      </w:r>
    </w:p>
    <w:p w14:paraId="3C6155C3">
      <w:pPr>
        <w:adjustRightInd w:val="0"/>
        <w:snapToGrid w:val="0"/>
        <w:jc w:val="center"/>
        <w:rPr>
          <w:rFonts w:hint="eastAsia" w:ascii="宋体" w:hAnsi="宋体"/>
          <w:b/>
          <w:bCs/>
          <w:kern w:val="0"/>
          <w:szCs w:val="21"/>
        </w:rPr>
      </w:pPr>
      <w:r>
        <w:rPr>
          <w:rFonts w:hint="eastAsia" w:ascii="宋体" w:hAnsi="宋体"/>
          <w:b/>
          <w:bCs/>
          <w:kern w:val="0"/>
          <w:szCs w:val="21"/>
        </w:rPr>
        <w:t>表</w:t>
      </w:r>
      <w:r>
        <w:rPr>
          <w:rFonts w:ascii="宋体" w:hAnsi="宋体"/>
          <w:b/>
          <w:bCs/>
          <w:kern w:val="0"/>
          <w:szCs w:val="21"/>
        </w:rPr>
        <w:t xml:space="preserve">9  </w:t>
      </w:r>
      <w:r>
        <w:rPr>
          <w:rFonts w:hint="eastAsia" w:ascii="宋体" w:hAnsi="宋体"/>
          <w:b/>
          <w:bCs/>
          <w:kern w:val="0"/>
          <w:szCs w:val="21"/>
        </w:rPr>
        <w:t>校内实训室（基地）表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488"/>
        <w:gridCol w:w="1291"/>
        <w:gridCol w:w="1664"/>
        <w:gridCol w:w="3548"/>
      </w:tblGrid>
      <w:tr w14:paraId="003D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8" w:type="pct"/>
            <w:vAlign w:val="center"/>
          </w:tcPr>
          <w:p w14:paraId="7D23F613">
            <w:pPr>
              <w:adjustRightInd w:val="0"/>
              <w:snapToGrid w:val="0"/>
              <w:jc w:val="center"/>
              <w:rPr>
                <w:rFonts w:ascii="宋体"/>
                <w:szCs w:val="21"/>
              </w:rPr>
            </w:pPr>
            <w:r>
              <w:rPr>
                <w:rFonts w:hint="eastAsia" w:ascii="宋体" w:hAnsi="宋体"/>
                <w:szCs w:val="21"/>
              </w:rPr>
              <w:t>序号</w:t>
            </w:r>
          </w:p>
        </w:tc>
        <w:tc>
          <w:tcPr>
            <w:tcW w:w="853" w:type="pct"/>
            <w:vAlign w:val="center"/>
          </w:tcPr>
          <w:p w14:paraId="67A427BE">
            <w:pPr>
              <w:adjustRightInd w:val="0"/>
              <w:snapToGrid w:val="0"/>
              <w:jc w:val="center"/>
              <w:rPr>
                <w:rFonts w:ascii="宋体"/>
                <w:szCs w:val="21"/>
              </w:rPr>
            </w:pPr>
            <w:r>
              <w:rPr>
                <w:rFonts w:hint="eastAsia" w:ascii="宋体" w:hAnsi="宋体"/>
                <w:szCs w:val="21"/>
              </w:rPr>
              <w:t>实训室（基地）名称</w:t>
            </w:r>
          </w:p>
        </w:tc>
        <w:tc>
          <w:tcPr>
            <w:tcW w:w="740" w:type="pct"/>
            <w:vAlign w:val="center"/>
          </w:tcPr>
          <w:p w14:paraId="1F959325">
            <w:pPr>
              <w:adjustRightInd w:val="0"/>
              <w:snapToGrid w:val="0"/>
              <w:jc w:val="center"/>
              <w:rPr>
                <w:rFonts w:ascii="宋体"/>
                <w:szCs w:val="21"/>
              </w:rPr>
            </w:pPr>
            <w:r>
              <w:rPr>
                <w:rFonts w:hint="eastAsia" w:ascii="宋体" w:hAnsi="宋体"/>
                <w:szCs w:val="21"/>
              </w:rPr>
              <w:t>工位数</w:t>
            </w:r>
          </w:p>
        </w:tc>
        <w:tc>
          <w:tcPr>
            <w:tcW w:w="954" w:type="pct"/>
            <w:vAlign w:val="center"/>
          </w:tcPr>
          <w:p w14:paraId="483AB43A">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033" w:type="pct"/>
            <w:vAlign w:val="center"/>
          </w:tcPr>
          <w:p w14:paraId="0F210158">
            <w:pPr>
              <w:adjustRightInd w:val="0"/>
              <w:snapToGrid w:val="0"/>
              <w:jc w:val="center"/>
              <w:rPr>
                <w:rFonts w:ascii="宋体"/>
                <w:szCs w:val="21"/>
              </w:rPr>
            </w:pPr>
            <w:r>
              <w:rPr>
                <w:rFonts w:hint="eastAsia" w:ascii="宋体" w:hAnsi="宋体"/>
                <w:szCs w:val="21"/>
              </w:rPr>
              <w:t>实训内容</w:t>
            </w:r>
          </w:p>
        </w:tc>
      </w:tr>
      <w:tr w14:paraId="0B0D1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418" w:type="pct"/>
            <w:vAlign w:val="center"/>
          </w:tcPr>
          <w:p w14:paraId="4B92E7EB">
            <w:pPr>
              <w:adjustRightInd w:val="0"/>
              <w:snapToGrid w:val="0"/>
              <w:jc w:val="center"/>
              <w:rPr>
                <w:rFonts w:hint="eastAsia" w:ascii="宋体" w:hAnsi="宋体"/>
                <w:szCs w:val="21"/>
              </w:rPr>
            </w:pPr>
            <w:r>
              <w:rPr>
                <w:rFonts w:ascii="宋体" w:hAnsi="宋体"/>
                <w:szCs w:val="21"/>
              </w:rPr>
              <w:t>1</w:t>
            </w:r>
          </w:p>
        </w:tc>
        <w:tc>
          <w:tcPr>
            <w:tcW w:w="853" w:type="pct"/>
            <w:shd w:val="clear" w:color="auto" w:fill="auto"/>
            <w:vAlign w:val="center"/>
          </w:tcPr>
          <w:p w14:paraId="78019721">
            <w:pPr>
              <w:adjustRightInd w:val="0"/>
              <w:snapToGrid w:val="0"/>
              <w:rPr>
                <w:rFonts w:hint="eastAsia" w:ascii="宋体" w:hAnsi="宋体" w:cs="宋体"/>
                <w:bCs/>
              </w:rPr>
            </w:pPr>
            <w:r>
              <w:rPr>
                <w:rFonts w:hint="eastAsia" w:ascii="宋体" w:hAnsi="宋体" w:cs="宋体"/>
                <w:bCs/>
              </w:rPr>
              <w:t>大数据应用</w:t>
            </w:r>
          </w:p>
          <w:p w14:paraId="5DD80008">
            <w:pPr>
              <w:adjustRightInd w:val="0"/>
              <w:snapToGrid w:val="0"/>
              <w:rPr>
                <w:rFonts w:hint="eastAsia" w:ascii="宋体" w:hAnsi="宋体"/>
                <w:szCs w:val="21"/>
              </w:rPr>
            </w:pPr>
            <w:r>
              <w:rPr>
                <w:rFonts w:hint="eastAsia" w:ascii="宋体" w:hAnsi="宋体" w:cs="宋体"/>
                <w:bCs/>
              </w:rPr>
              <w:t>实训室</w:t>
            </w:r>
          </w:p>
        </w:tc>
        <w:tc>
          <w:tcPr>
            <w:tcW w:w="740" w:type="pct"/>
            <w:shd w:val="clear" w:color="auto" w:fill="auto"/>
            <w:vAlign w:val="center"/>
          </w:tcPr>
          <w:p w14:paraId="42861D14">
            <w:pPr>
              <w:adjustRightInd w:val="0"/>
              <w:snapToGrid w:val="0"/>
              <w:jc w:val="center"/>
              <w:rPr>
                <w:rFonts w:hint="eastAsia" w:ascii="宋体" w:hAnsi="宋体"/>
                <w:szCs w:val="21"/>
              </w:rPr>
            </w:pPr>
            <w:r>
              <w:rPr>
                <w:rFonts w:hint="eastAsia" w:ascii="宋体" w:hAnsi="宋体"/>
                <w:szCs w:val="21"/>
              </w:rPr>
              <w:t>60</w:t>
            </w:r>
          </w:p>
        </w:tc>
        <w:tc>
          <w:tcPr>
            <w:tcW w:w="954" w:type="pct"/>
            <w:shd w:val="clear" w:color="auto" w:fill="auto"/>
            <w:vAlign w:val="center"/>
          </w:tcPr>
          <w:p w14:paraId="2E1670DE">
            <w:pPr>
              <w:adjustRightInd w:val="0"/>
              <w:snapToGrid w:val="0"/>
              <w:jc w:val="center"/>
              <w:rPr>
                <w:rFonts w:hint="eastAsia" w:ascii="宋体" w:hAnsi="宋体"/>
                <w:szCs w:val="21"/>
              </w:rPr>
            </w:pPr>
            <w:r>
              <w:rPr>
                <w:rFonts w:hint="eastAsia" w:ascii="宋体" w:hAnsi="宋体"/>
                <w:szCs w:val="21"/>
              </w:rPr>
              <w:t>《大数据分析与可视化技术》、《大数据技术在业财税融合中的应用》、《大数据技术基础》</w:t>
            </w:r>
          </w:p>
        </w:tc>
        <w:tc>
          <w:tcPr>
            <w:tcW w:w="2033" w:type="pct"/>
            <w:shd w:val="clear" w:color="auto" w:fill="auto"/>
            <w:vAlign w:val="center"/>
          </w:tcPr>
          <w:p w14:paraId="2DF4BE01">
            <w:pPr>
              <w:spacing w:line="240" w:lineRule="exact"/>
              <w:jc w:val="left"/>
              <w:rPr>
                <w:rFonts w:hint="eastAsia" w:ascii="宋体" w:hAnsi="宋体" w:cs="宋体"/>
                <w:bCs/>
                <w:szCs w:val="21"/>
              </w:rPr>
            </w:pPr>
            <w:r>
              <w:rPr>
                <w:rFonts w:hint="eastAsia" w:ascii="宋体" w:hAnsi="宋体" w:cs="宋体"/>
                <w:bCs/>
                <w:szCs w:val="21"/>
              </w:rPr>
              <w:t>业财会计基本认知</w:t>
            </w:r>
          </w:p>
          <w:p w14:paraId="2129FF89">
            <w:pPr>
              <w:spacing w:line="240" w:lineRule="exact"/>
              <w:jc w:val="left"/>
              <w:rPr>
                <w:rFonts w:hint="eastAsia" w:ascii="宋体" w:hAnsi="宋体" w:cs="宋体"/>
                <w:bCs/>
                <w:szCs w:val="21"/>
              </w:rPr>
            </w:pPr>
            <w:r>
              <w:rPr>
                <w:rFonts w:hint="eastAsia" w:ascii="宋体" w:hAnsi="宋体" w:cs="宋体"/>
                <w:bCs/>
                <w:szCs w:val="21"/>
              </w:rPr>
              <w:t>筹资业务核算</w:t>
            </w:r>
          </w:p>
          <w:p w14:paraId="633CF612">
            <w:pPr>
              <w:spacing w:line="240" w:lineRule="exact"/>
              <w:jc w:val="left"/>
              <w:rPr>
                <w:rFonts w:hint="eastAsia" w:ascii="宋体" w:hAnsi="宋体" w:cs="宋体"/>
                <w:bCs/>
                <w:szCs w:val="21"/>
              </w:rPr>
            </w:pPr>
            <w:r>
              <w:rPr>
                <w:rFonts w:hint="eastAsia" w:ascii="宋体" w:hAnsi="宋体" w:cs="宋体"/>
                <w:bCs/>
                <w:szCs w:val="21"/>
              </w:rPr>
              <w:t>采购业务核算</w:t>
            </w:r>
          </w:p>
          <w:p w14:paraId="34B8FF6F">
            <w:pPr>
              <w:spacing w:line="240" w:lineRule="exact"/>
              <w:jc w:val="left"/>
              <w:rPr>
                <w:rFonts w:hint="eastAsia" w:ascii="宋体" w:hAnsi="宋体" w:cs="宋体"/>
                <w:bCs/>
                <w:szCs w:val="21"/>
              </w:rPr>
            </w:pPr>
            <w:r>
              <w:rPr>
                <w:rFonts w:hint="eastAsia" w:ascii="宋体" w:hAnsi="宋体" w:cs="宋体"/>
                <w:bCs/>
                <w:szCs w:val="21"/>
              </w:rPr>
              <w:t>生产业务核算</w:t>
            </w:r>
          </w:p>
          <w:p w14:paraId="382C1892">
            <w:pPr>
              <w:spacing w:line="240" w:lineRule="exact"/>
              <w:jc w:val="left"/>
              <w:rPr>
                <w:rFonts w:hint="eastAsia" w:ascii="宋体" w:hAnsi="宋体" w:cs="宋体"/>
                <w:bCs/>
                <w:szCs w:val="21"/>
              </w:rPr>
            </w:pPr>
            <w:r>
              <w:rPr>
                <w:rFonts w:hint="eastAsia" w:ascii="宋体" w:hAnsi="宋体" w:cs="宋体"/>
                <w:bCs/>
                <w:szCs w:val="21"/>
              </w:rPr>
              <w:t>销售业务核算</w:t>
            </w:r>
          </w:p>
          <w:p w14:paraId="0EB76B50">
            <w:pPr>
              <w:spacing w:line="240" w:lineRule="exact"/>
              <w:jc w:val="left"/>
              <w:rPr>
                <w:rFonts w:hint="eastAsia" w:ascii="宋体" w:hAnsi="宋体" w:cs="宋体"/>
                <w:bCs/>
                <w:szCs w:val="21"/>
              </w:rPr>
            </w:pPr>
            <w:r>
              <w:rPr>
                <w:rFonts w:hint="eastAsia" w:ascii="宋体" w:hAnsi="宋体" w:cs="宋体"/>
                <w:bCs/>
                <w:szCs w:val="21"/>
              </w:rPr>
              <w:t>投资业务核算</w:t>
            </w:r>
          </w:p>
          <w:p w14:paraId="2D9CA079">
            <w:pPr>
              <w:spacing w:line="240" w:lineRule="exact"/>
              <w:jc w:val="left"/>
              <w:rPr>
                <w:rFonts w:hint="eastAsia" w:ascii="宋体" w:hAnsi="宋体" w:cs="宋体"/>
                <w:bCs/>
                <w:szCs w:val="21"/>
              </w:rPr>
            </w:pPr>
            <w:r>
              <w:rPr>
                <w:rFonts w:hint="eastAsia" w:ascii="宋体" w:hAnsi="宋体" w:cs="宋体"/>
                <w:bCs/>
                <w:szCs w:val="21"/>
              </w:rPr>
              <w:t>利润与利润分配核算</w:t>
            </w:r>
          </w:p>
          <w:p w14:paraId="6CC51593">
            <w:pPr>
              <w:spacing w:line="240" w:lineRule="exact"/>
              <w:jc w:val="left"/>
              <w:rPr>
                <w:rFonts w:hint="eastAsia" w:ascii="宋体" w:hAnsi="宋体" w:cs="宋体"/>
                <w:bCs/>
                <w:szCs w:val="21"/>
              </w:rPr>
            </w:pPr>
            <w:r>
              <w:rPr>
                <w:rFonts w:hint="eastAsia" w:ascii="宋体" w:hAnsi="宋体" w:cs="宋体"/>
                <w:bCs/>
                <w:szCs w:val="21"/>
              </w:rPr>
              <w:t>会计基本工作</w:t>
            </w:r>
          </w:p>
          <w:p w14:paraId="5FD99D83">
            <w:pPr>
              <w:spacing w:line="240" w:lineRule="exact"/>
              <w:jc w:val="left"/>
              <w:rPr>
                <w:rFonts w:hint="eastAsia" w:ascii="宋体" w:hAnsi="宋体" w:cs="宋体"/>
                <w:bCs/>
                <w:szCs w:val="21"/>
              </w:rPr>
            </w:pPr>
            <w:r>
              <w:rPr>
                <w:rFonts w:hint="eastAsia" w:ascii="宋体" w:hAnsi="宋体" w:cs="宋体"/>
                <w:bCs/>
                <w:szCs w:val="21"/>
              </w:rPr>
              <w:t>数据采集、清洗和准备、数据挖掘与模型建立</w:t>
            </w:r>
          </w:p>
          <w:p w14:paraId="3A7CA732">
            <w:pPr>
              <w:spacing w:line="240" w:lineRule="exact"/>
              <w:jc w:val="left"/>
              <w:rPr>
                <w:rFonts w:hint="eastAsia" w:ascii="宋体" w:hAnsi="宋体" w:cs="宋体"/>
                <w:bCs/>
                <w:szCs w:val="21"/>
              </w:rPr>
            </w:pPr>
            <w:r>
              <w:rPr>
                <w:rFonts w:hint="eastAsia" w:ascii="宋体" w:hAnsi="宋体" w:cs="宋体"/>
                <w:bCs/>
                <w:szCs w:val="21"/>
              </w:rPr>
              <w:t>数据处理技术及应用</w:t>
            </w:r>
          </w:p>
          <w:p w14:paraId="5B2705A0">
            <w:pPr>
              <w:spacing w:line="240" w:lineRule="exact"/>
              <w:jc w:val="left"/>
              <w:rPr>
                <w:rFonts w:hint="eastAsia" w:ascii="宋体" w:hAnsi="宋体" w:cs="宋体"/>
                <w:bCs/>
                <w:szCs w:val="21"/>
              </w:rPr>
            </w:pPr>
            <w:r>
              <w:rPr>
                <w:rFonts w:hint="eastAsia" w:ascii="宋体" w:hAnsi="宋体" w:cs="宋体"/>
                <w:bCs/>
                <w:szCs w:val="21"/>
              </w:rPr>
              <w:t>数据可</w:t>
            </w:r>
            <w:bookmarkStart w:id="8" w:name="_GoBack"/>
            <w:bookmarkEnd w:id="8"/>
            <w:r>
              <w:rPr>
                <w:rFonts w:hint="eastAsia" w:ascii="宋体" w:hAnsi="宋体" w:cs="宋体"/>
                <w:bCs/>
                <w:szCs w:val="21"/>
              </w:rPr>
              <w:t>视化技术及应用</w:t>
            </w:r>
          </w:p>
          <w:p w14:paraId="030FAA83">
            <w:pPr>
              <w:spacing w:line="240" w:lineRule="exact"/>
              <w:jc w:val="left"/>
              <w:rPr>
                <w:rFonts w:hint="eastAsia" w:ascii="宋体" w:hAnsi="宋体"/>
                <w:szCs w:val="21"/>
              </w:rPr>
            </w:pPr>
            <w:r>
              <w:rPr>
                <w:rFonts w:hint="eastAsia" w:ascii="宋体" w:hAnsi="宋体" w:cs="宋体"/>
                <w:bCs/>
                <w:szCs w:val="21"/>
              </w:rPr>
              <w:t>大数据在采购、生产、销售、筹资、投资、分配领域的应用</w:t>
            </w:r>
          </w:p>
        </w:tc>
      </w:tr>
      <w:tr w14:paraId="0A4A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418" w:type="pct"/>
            <w:shd w:val="clear" w:color="auto" w:fill="auto"/>
            <w:vAlign w:val="center"/>
          </w:tcPr>
          <w:p w14:paraId="118B09B9">
            <w:pPr>
              <w:adjustRightInd w:val="0"/>
              <w:snapToGrid w:val="0"/>
              <w:jc w:val="center"/>
              <w:rPr>
                <w:rFonts w:hint="eastAsia" w:ascii="宋体" w:hAnsi="宋体"/>
                <w:szCs w:val="21"/>
              </w:rPr>
            </w:pPr>
            <w:r>
              <w:rPr>
                <w:rFonts w:hint="eastAsia" w:ascii="宋体" w:hAnsi="宋体"/>
                <w:szCs w:val="21"/>
              </w:rPr>
              <w:t>2</w:t>
            </w:r>
          </w:p>
        </w:tc>
        <w:tc>
          <w:tcPr>
            <w:tcW w:w="853" w:type="pct"/>
            <w:shd w:val="clear" w:color="auto" w:fill="auto"/>
            <w:vAlign w:val="center"/>
          </w:tcPr>
          <w:p w14:paraId="1E00B26D">
            <w:pPr>
              <w:adjustRightInd w:val="0"/>
              <w:snapToGrid w:val="0"/>
              <w:rPr>
                <w:rFonts w:hint="eastAsia" w:ascii="宋体" w:hAnsi="宋体"/>
                <w:szCs w:val="21"/>
              </w:rPr>
            </w:pPr>
            <w:r>
              <w:rPr>
                <w:rFonts w:hint="eastAsia" w:ascii="宋体" w:hAnsi="宋体"/>
                <w:szCs w:val="21"/>
              </w:rPr>
              <w:t>业财融合供产销实训室</w:t>
            </w:r>
          </w:p>
        </w:tc>
        <w:tc>
          <w:tcPr>
            <w:tcW w:w="740" w:type="pct"/>
            <w:shd w:val="clear" w:color="auto" w:fill="auto"/>
            <w:vAlign w:val="center"/>
          </w:tcPr>
          <w:p w14:paraId="1BC9BAFB">
            <w:pPr>
              <w:adjustRightInd w:val="0"/>
              <w:snapToGrid w:val="0"/>
              <w:jc w:val="center"/>
              <w:rPr>
                <w:rFonts w:hint="eastAsia" w:ascii="宋体" w:hAnsi="宋体"/>
                <w:szCs w:val="21"/>
              </w:rPr>
            </w:pPr>
            <w:r>
              <w:rPr>
                <w:rFonts w:hint="eastAsia" w:ascii="宋体" w:hAnsi="宋体"/>
                <w:szCs w:val="21"/>
              </w:rPr>
              <w:t>60</w:t>
            </w:r>
          </w:p>
        </w:tc>
        <w:tc>
          <w:tcPr>
            <w:tcW w:w="954" w:type="pct"/>
            <w:shd w:val="clear" w:color="auto" w:fill="auto"/>
            <w:vAlign w:val="center"/>
          </w:tcPr>
          <w:p w14:paraId="2516F3EF">
            <w:pPr>
              <w:adjustRightInd w:val="0"/>
              <w:snapToGrid w:val="0"/>
              <w:jc w:val="center"/>
              <w:rPr>
                <w:rFonts w:hint="eastAsia" w:ascii="宋体" w:hAnsi="宋体"/>
                <w:szCs w:val="21"/>
              </w:rPr>
            </w:pPr>
            <w:r>
              <w:rPr>
                <w:rFonts w:hint="eastAsia" w:ascii="宋体" w:hAnsi="宋体"/>
                <w:szCs w:val="21"/>
              </w:rPr>
              <w:t>《业财融合采购管理》《业财融合生产管理》《业财融合销售管理》</w:t>
            </w:r>
          </w:p>
        </w:tc>
        <w:tc>
          <w:tcPr>
            <w:tcW w:w="2033" w:type="pct"/>
            <w:shd w:val="clear" w:color="auto" w:fill="auto"/>
            <w:vAlign w:val="center"/>
          </w:tcPr>
          <w:p w14:paraId="7C98D141">
            <w:pPr>
              <w:spacing w:line="240" w:lineRule="exact"/>
              <w:jc w:val="left"/>
              <w:rPr>
                <w:rFonts w:hint="eastAsia" w:ascii="宋体" w:hAnsi="宋体" w:cs="宋体"/>
                <w:bCs/>
                <w:szCs w:val="21"/>
              </w:rPr>
            </w:pPr>
            <w:r>
              <w:rPr>
                <w:rFonts w:hint="eastAsia" w:ascii="宋体" w:hAnsi="宋体" w:cs="宋体"/>
                <w:bCs/>
                <w:szCs w:val="21"/>
              </w:rPr>
              <w:t>采购计划与预算</w:t>
            </w:r>
          </w:p>
          <w:p w14:paraId="0DA0A05E">
            <w:pPr>
              <w:spacing w:line="240" w:lineRule="exact"/>
              <w:jc w:val="left"/>
              <w:rPr>
                <w:rFonts w:hint="eastAsia" w:ascii="宋体" w:hAnsi="宋体" w:cs="宋体"/>
                <w:bCs/>
                <w:szCs w:val="21"/>
              </w:rPr>
            </w:pPr>
            <w:r>
              <w:rPr>
                <w:rFonts w:hint="eastAsia" w:ascii="宋体" w:hAnsi="宋体" w:cs="宋体"/>
                <w:bCs/>
                <w:szCs w:val="21"/>
              </w:rPr>
              <w:t>采购执行与控制</w:t>
            </w:r>
          </w:p>
          <w:p w14:paraId="6634E7AD">
            <w:pPr>
              <w:spacing w:line="240" w:lineRule="exact"/>
              <w:jc w:val="left"/>
              <w:rPr>
                <w:rFonts w:hint="eastAsia" w:ascii="宋体" w:hAnsi="宋体" w:cs="宋体"/>
                <w:bCs/>
                <w:szCs w:val="21"/>
              </w:rPr>
            </w:pPr>
            <w:r>
              <w:rPr>
                <w:rFonts w:hint="eastAsia" w:ascii="宋体" w:hAnsi="宋体" w:cs="宋体"/>
                <w:bCs/>
                <w:szCs w:val="21"/>
              </w:rPr>
              <w:t>采购入库与结算</w:t>
            </w:r>
          </w:p>
          <w:p w14:paraId="16A8B42A">
            <w:pPr>
              <w:spacing w:line="240" w:lineRule="exact"/>
              <w:jc w:val="left"/>
              <w:rPr>
                <w:rFonts w:hint="eastAsia" w:ascii="宋体" w:hAnsi="宋体" w:cs="宋体"/>
                <w:bCs/>
                <w:szCs w:val="21"/>
              </w:rPr>
            </w:pPr>
            <w:r>
              <w:rPr>
                <w:rFonts w:hint="eastAsia" w:ascii="宋体" w:hAnsi="宋体" w:cs="宋体"/>
                <w:bCs/>
                <w:szCs w:val="21"/>
              </w:rPr>
              <w:t>采购业务核算</w:t>
            </w:r>
          </w:p>
          <w:p w14:paraId="61145A57">
            <w:pPr>
              <w:adjustRightInd w:val="0"/>
              <w:snapToGrid w:val="0"/>
              <w:rPr>
                <w:rFonts w:hint="eastAsia" w:ascii="宋体" w:hAnsi="宋体" w:cs="宋体"/>
                <w:bCs/>
                <w:szCs w:val="21"/>
              </w:rPr>
            </w:pPr>
            <w:r>
              <w:rPr>
                <w:rFonts w:hint="eastAsia" w:ascii="宋体" w:hAnsi="宋体" w:cs="宋体"/>
                <w:bCs/>
                <w:szCs w:val="21"/>
              </w:rPr>
              <w:t>供应商考核与采购绩效评价</w:t>
            </w:r>
          </w:p>
          <w:p w14:paraId="64DAA674">
            <w:pPr>
              <w:spacing w:line="240" w:lineRule="exact"/>
              <w:jc w:val="left"/>
              <w:rPr>
                <w:rFonts w:hint="eastAsia" w:ascii="宋体" w:hAnsi="宋体" w:cs="宋体"/>
                <w:bCs/>
                <w:szCs w:val="21"/>
              </w:rPr>
            </w:pPr>
            <w:r>
              <w:rPr>
                <w:rFonts w:hint="eastAsia" w:ascii="宋体" w:hAnsi="宋体" w:cs="宋体"/>
                <w:bCs/>
                <w:szCs w:val="21"/>
              </w:rPr>
              <w:t>生产决策与计划</w:t>
            </w:r>
          </w:p>
          <w:p w14:paraId="33308ABB">
            <w:pPr>
              <w:spacing w:line="240" w:lineRule="exact"/>
              <w:jc w:val="left"/>
              <w:rPr>
                <w:rFonts w:hint="eastAsia" w:ascii="宋体" w:hAnsi="宋体" w:cs="宋体"/>
                <w:bCs/>
                <w:szCs w:val="21"/>
              </w:rPr>
            </w:pPr>
            <w:r>
              <w:rPr>
                <w:rFonts w:hint="eastAsia" w:ascii="宋体" w:hAnsi="宋体" w:cs="宋体"/>
                <w:bCs/>
                <w:szCs w:val="21"/>
              </w:rPr>
              <w:t>生产管理与过程监控</w:t>
            </w:r>
          </w:p>
          <w:p w14:paraId="6846F28F">
            <w:pPr>
              <w:spacing w:line="240" w:lineRule="exact"/>
              <w:jc w:val="left"/>
              <w:rPr>
                <w:rFonts w:hint="eastAsia" w:ascii="宋体" w:hAnsi="宋体" w:cs="宋体"/>
                <w:bCs/>
                <w:szCs w:val="21"/>
              </w:rPr>
            </w:pPr>
            <w:r>
              <w:rPr>
                <w:rFonts w:hint="eastAsia" w:ascii="宋体" w:hAnsi="宋体" w:cs="宋体"/>
                <w:bCs/>
                <w:szCs w:val="21"/>
              </w:rPr>
              <w:t>生产执行</w:t>
            </w:r>
          </w:p>
          <w:p w14:paraId="04D454DC">
            <w:pPr>
              <w:spacing w:line="240" w:lineRule="exact"/>
              <w:jc w:val="left"/>
              <w:rPr>
                <w:rFonts w:hint="eastAsia" w:ascii="宋体" w:hAnsi="宋体" w:cs="宋体"/>
                <w:bCs/>
                <w:szCs w:val="21"/>
              </w:rPr>
            </w:pPr>
            <w:r>
              <w:rPr>
                <w:rFonts w:hint="eastAsia" w:ascii="宋体" w:hAnsi="宋体" w:cs="宋体"/>
                <w:bCs/>
                <w:szCs w:val="21"/>
              </w:rPr>
              <w:t>存货管理</w:t>
            </w:r>
          </w:p>
          <w:p w14:paraId="60C82787">
            <w:pPr>
              <w:spacing w:line="240" w:lineRule="exact"/>
              <w:jc w:val="left"/>
              <w:rPr>
                <w:rFonts w:hint="eastAsia" w:ascii="宋体" w:hAnsi="宋体" w:cs="宋体"/>
                <w:bCs/>
                <w:szCs w:val="21"/>
              </w:rPr>
            </w:pPr>
            <w:r>
              <w:rPr>
                <w:rFonts w:hint="eastAsia" w:ascii="宋体" w:hAnsi="宋体" w:cs="宋体"/>
                <w:bCs/>
                <w:szCs w:val="21"/>
              </w:rPr>
              <w:t>生产成本与分析</w:t>
            </w:r>
          </w:p>
          <w:p w14:paraId="79A15B4D">
            <w:pPr>
              <w:adjustRightInd w:val="0"/>
              <w:snapToGrid w:val="0"/>
              <w:rPr>
                <w:rFonts w:hint="eastAsia" w:ascii="宋体" w:hAnsi="宋体" w:cs="宋体"/>
                <w:bCs/>
                <w:szCs w:val="21"/>
              </w:rPr>
            </w:pPr>
            <w:r>
              <w:rPr>
                <w:rFonts w:hint="eastAsia" w:ascii="宋体" w:hAnsi="宋体" w:cs="宋体"/>
                <w:bCs/>
                <w:szCs w:val="21"/>
              </w:rPr>
              <w:t>绩效评价</w:t>
            </w:r>
          </w:p>
          <w:p w14:paraId="3E38A371">
            <w:pPr>
              <w:spacing w:line="240" w:lineRule="exact"/>
              <w:jc w:val="left"/>
              <w:rPr>
                <w:rFonts w:hint="eastAsia" w:ascii="宋体" w:hAnsi="宋体" w:cs="宋体"/>
                <w:bCs/>
                <w:szCs w:val="21"/>
              </w:rPr>
            </w:pPr>
            <w:r>
              <w:rPr>
                <w:rFonts w:hint="eastAsia" w:ascii="宋体" w:hAnsi="宋体" w:cs="宋体"/>
                <w:bCs/>
                <w:szCs w:val="21"/>
              </w:rPr>
              <w:t>销售预测与产品定价</w:t>
            </w:r>
          </w:p>
          <w:p w14:paraId="1DE2F34E">
            <w:pPr>
              <w:spacing w:line="240" w:lineRule="exact"/>
              <w:jc w:val="left"/>
              <w:rPr>
                <w:rFonts w:hint="eastAsia" w:ascii="宋体" w:hAnsi="宋体" w:cs="宋体"/>
                <w:bCs/>
                <w:szCs w:val="21"/>
              </w:rPr>
            </w:pPr>
            <w:r>
              <w:rPr>
                <w:rFonts w:hint="eastAsia" w:ascii="宋体" w:hAnsi="宋体" w:cs="宋体"/>
                <w:bCs/>
                <w:szCs w:val="21"/>
              </w:rPr>
              <w:t>销售计划与预算</w:t>
            </w:r>
          </w:p>
          <w:p w14:paraId="269CB53B">
            <w:pPr>
              <w:spacing w:line="240" w:lineRule="exact"/>
              <w:jc w:val="left"/>
              <w:rPr>
                <w:rFonts w:hint="eastAsia" w:ascii="宋体" w:hAnsi="宋体" w:cs="宋体"/>
                <w:bCs/>
                <w:szCs w:val="21"/>
              </w:rPr>
            </w:pPr>
            <w:r>
              <w:rPr>
                <w:rFonts w:hint="eastAsia" w:ascii="宋体" w:hAnsi="宋体" w:cs="宋体"/>
                <w:bCs/>
                <w:szCs w:val="21"/>
              </w:rPr>
              <w:t>销售执行</w:t>
            </w:r>
          </w:p>
          <w:p w14:paraId="64E14D42">
            <w:pPr>
              <w:spacing w:line="240" w:lineRule="exact"/>
              <w:jc w:val="left"/>
              <w:rPr>
                <w:rFonts w:hint="eastAsia" w:ascii="宋体" w:hAnsi="宋体" w:cs="宋体"/>
                <w:bCs/>
                <w:szCs w:val="21"/>
              </w:rPr>
            </w:pPr>
            <w:r>
              <w:rPr>
                <w:rFonts w:hint="eastAsia" w:ascii="宋体" w:hAnsi="宋体" w:cs="宋体"/>
                <w:bCs/>
                <w:szCs w:val="21"/>
              </w:rPr>
              <w:t>销售收入核算</w:t>
            </w:r>
          </w:p>
          <w:p w14:paraId="325DB8FD">
            <w:pPr>
              <w:spacing w:line="240" w:lineRule="exact"/>
              <w:jc w:val="left"/>
              <w:rPr>
                <w:rFonts w:hint="eastAsia" w:ascii="宋体" w:hAnsi="宋体" w:cs="宋体"/>
                <w:bCs/>
                <w:szCs w:val="21"/>
              </w:rPr>
            </w:pPr>
            <w:r>
              <w:rPr>
                <w:rFonts w:hint="eastAsia" w:ascii="宋体" w:hAnsi="宋体" w:cs="宋体"/>
                <w:bCs/>
                <w:szCs w:val="21"/>
              </w:rPr>
              <w:t>销售利润核算</w:t>
            </w:r>
          </w:p>
          <w:p w14:paraId="508E9DD9">
            <w:pPr>
              <w:adjustRightInd w:val="0"/>
              <w:snapToGrid w:val="0"/>
              <w:rPr>
                <w:rFonts w:hint="eastAsia" w:ascii="宋体" w:hAnsi="宋体" w:cs="宋体"/>
                <w:bCs/>
                <w:szCs w:val="21"/>
              </w:rPr>
            </w:pPr>
            <w:r>
              <w:rPr>
                <w:rFonts w:hint="eastAsia" w:ascii="宋体" w:hAnsi="宋体" w:cs="宋体"/>
                <w:bCs/>
                <w:szCs w:val="21"/>
              </w:rPr>
              <w:t>销售分析与绩效评价</w:t>
            </w:r>
          </w:p>
        </w:tc>
      </w:tr>
      <w:tr w14:paraId="6E2A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jc w:val="center"/>
        </w:trPr>
        <w:tc>
          <w:tcPr>
            <w:tcW w:w="418" w:type="pct"/>
            <w:vAlign w:val="center"/>
          </w:tcPr>
          <w:p w14:paraId="62BD2B90">
            <w:pPr>
              <w:adjustRightInd w:val="0"/>
              <w:snapToGrid w:val="0"/>
              <w:jc w:val="center"/>
              <w:rPr>
                <w:rFonts w:hint="eastAsia" w:ascii="宋体" w:hAnsi="宋体"/>
                <w:szCs w:val="21"/>
              </w:rPr>
            </w:pPr>
            <w:r>
              <w:rPr>
                <w:rFonts w:hint="eastAsia" w:ascii="宋体" w:hAnsi="宋体"/>
                <w:szCs w:val="21"/>
              </w:rPr>
              <w:t>3</w:t>
            </w:r>
          </w:p>
        </w:tc>
        <w:tc>
          <w:tcPr>
            <w:tcW w:w="853" w:type="pct"/>
            <w:vAlign w:val="center"/>
          </w:tcPr>
          <w:p w14:paraId="0E3D0C08">
            <w:pPr>
              <w:adjustRightInd w:val="0"/>
              <w:snapToGrid w:val="0"/>
              <w:rPr>
                <w:rFonts w:hint="eastAsia" w:ascii="宋体" w:hAnsi="宋体"/>
                <w:szCs w:val="21"/>
              </w:rPr>
            </w:pPr>
            <w:r>
              <w:rPr>
                <w:rFonts w:hint="eastAsia" w:ascii="宋体" w:hAnsi="宋体"/>
                <w:szCs w:val="21"/>
              </w:rPr>
              <w:t>业财融合</w:t>
            </w:r>
            <w:r>
              <w:rPr>
                <w:rFonts w:hint="eastAsia" w:ascii="宋体" w:hAnsi="宋体"/>
                <w:szCs w:val="21"/>
                <w:lang w:val="en-US" w:eastAsia="zh-CN"/>
              </w:rPr>
              <w:t>投融资与分配管理</w:t>
            </w:r>
            <w:r>
              <w:rPr>
                <w:rFonts w:hint="eastAsia" w:ascii="宋体" w:hAnsi="宋体"/>
                <w:szCs w:val="21"/>
              </w:rPr>
              <w:t>实训室</w:t>
            </w:r>
          </w:p>
        </w:tc>
        <w:tc>
          <w:tcPr>
            <w:tcW w:w="740" w:type="pct"/>
            <w:vAlign w:val="center"/>
          </w:tcPr>
          <w:p w14:paraId="570344C7">
            <w:pPr>
              <w:adjustRightInd w:val="0"/>
              <w:snapToGrid w:val="0"/>
              <w:jc w:val="center"/>
              <w:rPr>
                <w:rFonts w:hint="eastAsia" w:ascii="宋体" w:hAnsi="宋体"/>
                <w:szCs w:val="21"/>
              </w:rPr>
            </w:pPr>
            <w:r>
              <w:rPr>
                <w:rFonts w:hint="eastAsia" w:ascii="宋体" w:hAnsi="宋体"/>
                <w:szCs w:val="21"/>
              </w:rPr>
              <w:t>60</w:t>
            </w:r>
          </w:p>
        </w:tc>
        <w:tc>
          <w:tcPr>
            <w:tcW w:w="954" w:type="pct"/>
            <w:vAlign w:val="center"/>
          </w:tcPr>
          <w:p w14:paraId="33727723">
            <w:pPr>
              <w:adjustRightInd w:val="0"/>
              <w:snapToGrid w:val="0"/>
              <w:jc w:val="center"/>
              <w:rPr>
                <w:rFonts w:hint="eastAsia" w:ascii="宋体" w:hAnsi="宋体"/>
                <w:szCs w:val="21"/>
              </w:rPr>
            </w:pPr>
            <w:r>
              <w:rPr>
                <w:rFonts w:hint="eastAsia" w:ascii="宋体" w:hAnsi="宋体"/>
                <w:szCs w:val="21"/>
              </w:rPr>
              <w:t>《业财融合筹资管理》《业财融合投资管理》《业财融合分配管理》</w:t>
            </w:r>
          </w:p>
        </w:tc>
        <w:tc>
          <w:tcPr>
            <w:tcW w:w="2033" w:type="pct"/>
            <w:vAlign w:val="center"/>
          </w:tcPr>
          <w:p w14:paraId="49514252">
            <w:pPr>
              <w:spacing w:line="240" w:lineRule="exact"/>
              <w:jc w:val="left"/>
              <w:rPr>
                <w:rFonts w:hint="eastAsia" w:ascii="宋体" w:hAnsi="宋体" w:cs="宋体"/>
                <w:bCs/>
                <w:szCs w:val="21"/>
              </w:rPr>
            </w:pPr>
            <w:r>
              <w:rPr>
                <w:rFonts w:hint="eastAsia" w:ascii="宋体" w:hAnsi="宋体" w:cs="宋体"/>
                <w:bCs/>
                <w:szCs w:val="21"/>
              </w:rPr>
              <w:t>筹资认知与识别</w:t>
            </w:r>
          </w:p>
          <w:p w14:paraId="4D6A1E01">
            <w:pPr>
              <w:spacing w:line="240" w:lineRule="exact"/>
              <w:jc w:val="left"/>
              <w:rPr>
                <w:rFonts w:hint="eastAsia" w:ascii="宋体" w:hAnsi="宋体" w:cs="宋体"/>
                <w:bCs/>
                <w:szCs w:val="21"/>
              </w:rPr>
            </w:pPr>
            <w:r>
              <w:rPr>
                <w:rFonts w:hint="eastAsia" w:ascii="宋体" w:hAnsi="宋体" w:cs="宋体"/>
                <w:bCs/>
                <w:szCs w:val="21"/>
              </w:rPr>
              <w:t>筹资结构、成本与风险分析</w:t>
            </w:r>
          </w:p>
          <w:p w14:paraId="7B0DDA83">
            <w:pPr>
              <w:spacing w:line="240" w:lineRule="exact"/>
              <w:jc w:val="left"/>
              <w:rPr>
                <w:rFonts w:hint="eastAsia" w:ascii="宋体" w:hAnsi="宋体" w:cs="宋体"/>
                <w:bCs/>
                <w:szCs w:val="21"/>
              </w:rPr>
            </w:pPr>
            <w:r>
              <w:rPr>
                <w:rFonts w:hint="eastAsia" w:ascii="宋体" w:hAnsi="宋体" w:cs="宋体"/>
                <w:bCs/>
                <w:szCs w:val="21"/>
              </w:rPr>
              <w:t>筹资预算与规划</w:t>
            </w:r>
          </w:p>
          <w:p w14:paraId="5D84BEBC">
            <w:pPr>
              <w:spacing w:line="240" w:lineRule="exact"/>
              <w:jc w:val="left"/>
              <w:rPr>
                <w:rFonts w:hint="eastAsia" w:ascii="宋体" w:hAnsi="宋体" w:cs="宋体"/>
                <w:bCs/>
                <w:szCs w:val="21"/>
              </w:rPr>
            </w:pPr>
            <w:r>
              <w:rPr>
                <w:rFonts w:hint="eastAsia" w:ascii="宋体" w:hAnsi="宋体" w:cs="宋体"/>
                <w:bCs/>
                <w:szCs w:val="21"/>
              </w:rPr>
              <w:t>资金运营与管理</w:t>
            </w:r>
          </w:p>
          <w:p w14:paraId="489628E8">
            <w:pPr>
              <w:spacing w:line="240" w:lineRule="exact"/>
              <w:jc w:val="left"/>
              <w:rPr>
                <w:rFonts w:hint="eastAsia" w:ascii="宋体" w:hAnsi="宋体" w:cs="宋体"/>
                <w:bCs/>
                <w:szCs w:val="21"/>
              </w:rPr>
            </w:pPr>
            <w:r>
              <w:rPr>
                <w:rFonts w:hint="eastAsia" w:ascii="宋体" w:hAnsi="宋体" w:cs="宋体"/>
                <w:bCs/>
                <w:szCs w:val="21"/>
              </w:rPr>
              <w:t>筹资渠道、方式分析与决策</w:t>
            </w:r>
          </w:p>
          <w:p w14:paraId="43AC3ABA">
            <w:pPr>
              <w:spacing w:line="240" w:lineRule="exact"/>
              <w:jc w:val="left"/>
              <w:rPr>
                <w:rFonts w:hint="eastAsia" w:ascii="宋体" w:hAnsi="宋体" w:cs="宋体"/>
                <w:bCs/>
                <w:szCs w:val="21"/>
              </w:rPr>
            </w:pPr>
            <w:r>
              <w:rPr>
                <w:rFonts w:hint="eastAsia" w:ascii="宋体" w:hAnsi="宋体" w:cs="宋体"/>
                <w:bCs/>
                <w:szCs w:val="21"/>
              </w:rPr>
              <w:t>筹资执行与管控</w:t>
            </w:r>
          </w:p>
          <w:p w14:paraId="4155C15F">
            <w:pPr>
              <w:spacing w:line="240" w:lineRule="exact"/>
              <w:jc w:val="left"/>
              <w:rPr>
                <w:rFonts w:hint="eastAsia" w:ascii="宋体" w:hAnsi="宋体" w:cs="宋体"/>
                <w:bCs/>
                <w:szCs w:val="21"/>
              </w:rPr>
            </w:pPr>
            <w:r>
              <w:rPr>
                <w:rFonts w:hint="eastAsia" w:ascii="宋体" w:hAnsi="宋体" w:cs="宋体"/>
                <w:bCs/>
                <w:szCs w:val="21"/>
              </w:rPr>
              <w:t>筹资确认与核算</w:t>
            </w:r>
          </w:p>
          <w:p w14:paraId="11E81E26">
            <w:pPr>
              <w:spacing w:line="240" w:lineRule="exact"/>
              <w:jc w:val="left"/>
              <w:rPr>
                <w:rFonts w:hint="eastAsia" w:ascii="宋体" w:hAnsi="宋体" w:cs="宋体"/>
                <w:bCs/>
                <w:szCs w:val="21"/>
              </w:rPr>
            </w:pPr>
            <w:r>
              <w:rPr>
                <w:rFonts w:hint="eastAsia" w:ascii="宋体" w:hAnsi="宋体" w:cs="宋体"/>
                <w:bCs/>
                <w:szCs w:val="21"/>
              </w:rPr>
              <w:t>筹资分析与考核</w:t>
            </w:r>
          </w:p>
          <w:p w14:paraId="10D959F8">
            <w:pPr>
              <w:spacing w:line="240" w:lineRule="exact"/>
              <w:jc w:val="left"/>
              <w:rPr>
                <w:rFonts w:hint="eastAsia" w:ascii="宋体" w:hAnsi="宋体" w:cs="宋体"/>
                <w:bCs/>
                <w:szCs w:val="21"/>
              </w:rPr>
            </w:pPr>
            <w:r>
              <w:rPr>
                <w:rFonts w:hint="eastAsia" w:ascii="宋体" w:hAnsi="宋体" w:cs="宋体"/>
                <w:bCs/>
                <w:szCs w:val="21"/>
              </w:rPr>
              <w:t>投资计划与预算</w:t>
            </w:r>
          </w:p>
          <w:p w14:paraId="7D5D417A">
            <w:pPr>
              <w:spacing w:line="240" w:lineRule="exact"/>
              <w:jc w:val="left"/>
              <w:rPr>
                <w:rFonts w:hint="eastAsia" w:ascii="宋体" w:hAnsi="宋体" w:cs="宋体"/>
                <w:bCs/>
                <w:szCs w:val="21"/>
              </w:rPr>
            </w:pPr>
            <w:r>
              <w:rPr>
                <w:rFonts w:hint="eastAsia" w:ascii="宋体" w:hAnsi="宋体" w:cs="宋体"/>
                <w:bCs/>
                <w:szCs w:val="21"/>
              </w:rPr>
              <w:t>投资执行与管理</w:t>
            </w:r>
          </w:p>
          <w:p w14:paraId="7DA5E2F9">
            <w:pPr>
              <w:spacing w:line="240" w:lineRule="exact"/>
              <w:jc w:val="left"/>
              <w:rPr>
                <w:rFonts w:hint="eastAsia" w:ascii="宋体" w:hAnsi="宋体" w:cs="宋体"/>
                <w:bCs/>
                <w:szCs w:val="21"/>
              </w:rPr>
            </w:pPr>
            <w:r>
              <w:rPr>
                <w:rFonts w:hint="eastAsia" w:ascii="宋体" w:hAnsi="宋体" w:cs="宋体"/>
                <w:bCs/>
                <w:szCs w:val="21"/>
              </w:rPr>
              <w:t>投资完工与结算</w:t>
            </w:r>
          </w:p>
          <w:p w14:paraId="60015BD2">
            <w:pPr>
              <w:spacing w:line="240" w:lineRule="exact"/>
              <w:jc w:val="left"/>
              <w:rPr>
                <w:rFonts w:hint="eastAsia" w:ascii="宋体" w:hAnsi="宋体" w:cs="宋体"/>
                <w:bCs/>
                <w:szCs w:val="21"/>
              </w:rPr>
            </w:pPr>
            <w:r>
              <w:rPr>
                <w:rFonts w:hint="eastAsia" w:ascii="宋体" w:hAnsi="宋体" w:cs="宋体"/>
                <w:bCs/>
                <w:szCs w:val="21"/>
              </w:rPr>
              <w:t>投资结转与核算</w:t>
            </w:r>
          </w:p>
          <w:p w14:paraId="2F2C80C0">
            <w:pPr>
              <w:adjustRightInd w:val="0"/>
              <w:snapToGrid w:val="0"/>
              <w:rPr>
                <w:rFonts w:hint="eastAsia" w:ascii="宋体" w:hAnsi="宋体" w:cs="宋体"/>
                <w:bCs/>
                <w:szCs w:val="21"/>
              </w:rPr>
            </w:pPr>
            <w:r>
              <w:rPr>
                <w:rFonts w:hint="eastAsia" w:ascii="宋体" w:hAnsi="宋体" w:cs="宋体"/>
                <w:bCs/>
                <w:szCs w:val="21"/>
              </w:rPr>
              <w:t>投资分析与评价</w:t>
            </w:r>
          </w:p>
          <w:p w14:paraId="59540A15">
            <w:pPr>
              <w:spacing w:line="240" w:lineRule="exact"/>
              <w:jc w:val="left"/>
              <w:rPr>
                <w:rFonts w:hint="eastAsia" w:ascii="宋体" w:hAnsi="宋体" w:cs="宋体"/>
                <w:bCs/>
                <w:szCs w:val="21"/>
              </w:rPr>
            </w:pPr>
            <w:r>
              <w:rPr>
                <w:rFonts w:hint="eastAsia" w:ascii="宋体" w:hAnsi="宋体" w:cs="宋体"/>
                <w:bCs/>
                <w:szCs w:val="21"/>
              </w:rPr>
              <w:t>建立分配机制</w:t>
            </w:r>
          </w:p>
          <w:p w14:paraId="0813BAA6">
            <w:pPr>
              <w:spacing w:line="240" w:lineRule="exact"/>
              <w:jc w:val="left"/>
              <w:rPr>
                <w:rFonts w:hint="eastAsia" w:ascii="宋体" w:hAnsi="宋体" w:cs="宋体"/>
                <w:bCs/>
                <w:szCs w:val="21"/>
              </w:rPr>
            </w:pPr>
            <w:r>
              <w:rPr>
                <w:rFonts w:hint="eastAsia" w:ascii="宋体" w:hAnsi="宋体" w:cs="宋体"/>
                <w:bCs/>
                <w:szCs w:val="21"/>
              </w:rPr>
              <w:t>年度重点工作的确定</w:t>
            </w:r>
          </w:p>
          <w:p w14:paraId="77EC1ECF">
            <w:pPr>
              <w:spacing w:line="240" w:lineRule="exact"/>
              <w:jc w:val="left"/>
              <w:rPr>
                <w:rFonts w:hint="eastAsia" w:ascii="宋体" w:hAnsi="宋体" w:cs="宋体"/>
                <w:bCs/>
                <w:szCs w:val="21"/>
              </w:rPr>
            </w:pPr>
            <w:r>
              <w:rPr>
                <w:rFonts w:hint="eastAsia" w:ascii="宋体" w:hAnsi="宋体" w:cs="宋体"/>
                <w:bCs/>
                <w:szCs w:val="21"/>
              </w:rPr>
              <w:t>制定企业分配决策方案</w:t>
            </w:r>
          </w:p>
          <w:p w14:paraId="3866E75B">
            <w:pPr>
              <w:spacing w:line="240" w:lineRule="exact"/>
              <w:jc w:val="left"/>
              <w:rPr>
                <w:rFonts w:hint="eastAsia" w:ascii="宋体" w:hAnsi="宋体" w:cs="宋体"/>
                <w:bCs/>
                <w:szCs w:val="21"/>
              </w:rPr>
            </w:pPr>
            <w:r>
              <w:rPr>
                <w:rFonts w:hint="eastAsia" w:ascii="宋体" w:hAnsi="宋体" w:cs="宋体"/>
                <w:bCs/>
                <w:szCs w:val="21"/>
              </w:rPr>
              <w:t>制定员工分配决策方案</w:t>
            </w:r>
          </w:p>
          <w:p w14:paraId="7C6FF584">
            <w:pPr>
              <w:spacing w:line="240" w:lineRule="exact"/>
              <w:jc w:val="left"/>
              <w:rPr>
                <w:rFonts w:hint="eastAsia" w:ascii="宋体" w:hAnsi="宋体" w:eastAsia="宋体" w:cs="宋体"/>
                <w:bCs/>
                <w:szCs w:val="21"/>
                <w:lang w:val="en-US" w:eastAsia="zh-CN"/>
              </w:rPr>
            </w:pPr>
            <w:r>
              <w:rPr>
                <w:rFonts w:hint="eastAsia" w:ascii="宋体" w:hAnsi="宋体" w:cs="宋体"/>
                <w:bCs/>
                <w:szCs w:val="21"/>
              </w:rPr>
              <w:t>分配决策方案分析、评价与改</w:t>
            </w:r>
            <w:r>
              <w:rPr>
                <w:rFonts w:hint="eastAsia" w:ascii="宋体" w:hAnsi="宋体" w:cs="宋体"/>
                <w:bCs/>
                <w:szCs w:val="21"/>
                <w:lang w:val="en-US" w:eastAsia="zh-CN"/>
              </w:rPr>
              <w:t>进</w:t>
            </w:r>
          </w:p>
        </w:tc>
      </w:tr>
      <w:tr w14:paraId="72A5B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6" w:hRule="atLeast"/>
          <w:jc w:val="center"/>
        </w:trPr>
        <w:tc>
          <w:tcPr>
            <w:tcW w:w="418" w:type="pct"/>
            <w:vAlign w:val="center"/>
          </w:tcPr>
          <w:p w14:paraId="7ACFD123">
            <w:pPr>
              <w:adjustRightInd w:val="0"/>
              <w:snapToGrid w:val="0"/>
              <w:jc w:val="center"/>
              <w:rPr>
                <w:rFonts w:hint="eastAsia" w:ascii="宋体" w:hAnsi="宋体"/>
                <w:szCs w:val="21"/>
              </w:rPr>
            </w:pPr>
            <w:r>
              <w:rPr>
                <w:rFonts w:hint="eastAsia" w:ascii="宋体" w:hAnsi="宋体"/>
                <w:szCs w:val="21"/>
              </w:rPr>
              <w:t>4</w:t>
            </w:r>
          </w:p>
        </w:tc>
        <w:tc>
          <w:tcPr>
            <w:tcW w:w="853" w:type="pct"/>
            <w:vAlign w:val="center"/>
          </w:tcPr>
          <w:p w14:paraId="119721BB">
            <w:pPr>
              <w:ind w:right="112"/>
              <w:rPr>
                <w:rFonts w:hint="eastAsia" w:ascii="宋体" w:hAnsi="宋体"/>
                <w:szCs w:val="21"/>
              </w:rPr>
            </w:pPr>
            <w:r>
              <w:rPr>
                <w:rFonts w:hint="eastAsia" w:ascii="宋体" w:hAnsi="宋体" w:cs="宋体"/>
                <w:bCs/>
                <w:szCs w:val="21"/>
              </w:rPr>
              <w:t>业财税综合分析与数据治理实训室</w:t>
            </w:r>
          </w:p>
        </w:tc>
        <w:tc>
          <w:tcPr>
            <w:tcW w:w="740" w:type="pct"/>
            <w:vAlign w:val="center"/>
          </w:tcPr>
          <w:p w14:paraId="6DF5B9B4">
            <w:pPr>
              <w:adjustRightInd w:val="0"/>
              <w:snapToGrid w:val="0"/>
              <w:jc w:val="center"/>
              <w:rPr>
                <w:rFonts w:hint="eastAsia" w:ascii="宋体" w:hAnsi="宋体"/>
                <w:szCs w:val="21"/>
              </w:rPr>
            </w:pPr>
            <w:r>
              <w:rPr>
                <w:rFonts w:hint="eastAsia" w:ascii="宋体" w:hAnsi="宋体"/>
                <w:szCs w:val="21"/>
              </w:rPr>
              <w:t>60</w:t>
            </w:r>
          </w:p>
        </w:tc>
        <w:tc>
          <w:tcPr>
            <w:tcW w:w="954" w:type="pct"/>
            <w:vAlign w:val="center"/>
          </w:tcPr>
          <w:p w14:paraId="06E22621">
            <w:pPr>
              <w:adjustRightInd w:val="0"/>
              <w:snapToGrid w:val="0"/>
              <w:jc w:val="center"/>
              <w:rPr>
                <w:rFonts w:hint="eastAsia" w:ascii="宋体" w:hAnsi="宋体"/>
                <w:szCs w:val="21"/>
              </w:rPr>
            </w:pPr>
            <w:r>
              <w:rPr>
                <w:rFonts w:hint="eastAsia" w:ascii="宋体" w:hAnsi="宋体"/>
                <w:szCs w:val="21"/>
              </w:rPr>
              <w:t>《</w:t>
            </w:r>
            <w:r>
              <w:rPr>
                <w:rFonts w:hint="eastAsia"/>
              </w:rPr>
              <w:t>业财融合采购管理</w:t>
            </w:r>
            <w:r>
              <w:rPr>
                <w:rFonts w:hint="eastAsia" w:ascii="宋体" w:hAnsi="宋体"/>
                <w:szCs w:val="21"/>
              </w:rPr>
              <w:t>》</w:t>
            </w:r>
            <w:r>
              <w:rPr>
                <w:rFonts w:hint="eastAsia"/>
              </w:rPr>
              <w:t>、</w:t>
            </w:r>
            <w:r>
              <w:rPr>
                <w:rFonts w:hint="eastAsia" w:ascii="宋体" w:hAnsi="宋体"/>
                <w:szCs w:val="21"/>
              </w:rPr>
              <w:t>《</w:t>
            </w:r>
            <w:r>
              <w:rPr>
                <w:rFonts w:hint="eastAsia"/>
              </w:rPr>
              <w:t>业财融合生产管理</w:t>
            </w:r>
            <w:r>
              <w:rPr>
                <w:rFonts w:hint="eastAsia" w:ascii="宋体" w:hAnsi="宋体"/>
                <w:szCs w:val="21"/>
              </w:rPr>
              <w:t>》</w:t>
            </w:r>
            <w:r>
              <w:rPr>
                <w:rFonts w:hint="eastAsia"/>
              </w:rPr>
              <w:t>、</w:t>
            </w:r>
            <w:r>
              <w:rPr>
                <w:rFonts w:hint="eastAsia" w:ascii="宋体" w:hAnsi="宋体"/>
                <w:szCs w:val="21"/>
              </w:rPr>
              <w:t>《</w:t>
            </w:r>
            <w:r>
              <w:rPr>
                <w:rFonts w:hint="eastAsia"/>
              </w:rPr>
              <w:t>业财融合销售管理</w:t>
            </w:r>
            <w:r>
              <w:rPr>
                <w:rFonts w:hint="eastAsia" w:ascii="宋体" w:hAnsi="宋体"/>
                <w:szCs w:val="21"/>
              </w:rPr>
              <w:t>》</w:t>
            </w:r>
            <w:r>
              <w:rPr>
                <w:rFonts w:hint="eastAsia"/>
              </w:rPr>
              <w:t>、</w:t>
            </w:r>
            <w:r>
              <w:rPr>
                <w:rFonts w:hint="eastAsia" w:ascii="宋体" w:hAnsi="宋体"/>
                <w:szCs w:val="21"/>
              </w:rPr>
              <w:t>《</w:t>
            </w:r>
            <w:r>
              <w:rPr>
                <w:rFonts w:hint="eastAsia"/>
              </w:rPr>
              <w:t>业财融合筹资管理</w:t>
            </w:r>
            <w:r>
              <w:rPr>
                <w:rFonts w:hint="eastAsia" w:ascii="宋体" w:hAnsi="宋体"/>
                <w:szCs w:val="21"/>
              </w:rPr>
              <w:t>》</w:t>
            </w:r>
            <w:r>
              <w:rPr>
                <w:rFonts w:hint="eastAsia"/>
              </w:rPr>
              <w:t>、</w:t>
            </w:r>
            <w:r>
              <w:rPr>
                <w:rFonts w:hint="eastAsia" w:ascii="宋体" w:hAnsi="宋体"/>
                <w:szCs w:val="21"/>
              </w:rPr>
              <w:t>《</w:t>
            </w:r>
            <w:r>
              <w:rPr>
                <w:rFonts w:hint="eastAsia"/>
              </w:rPr>
              <w:t>业财融合投资管理</w:t>
            </w:r>
            <w:r>
              <w:rPr>
                <w:rFonts w:hint="eastAsia" w:ascii="宋体" w:hAnsi="宋体"/>
                <w:szCs w:val="21"/>
              </w:rPr>
              <w:t>》</w:t>
            </w:r>
            <w:r>
              <w:rPr>
                <w:rFonts w:hint="eastAsia"/>
              </w:rPr>
              <w:t>、</w:t>
            </w:r>
            <w:r>
              <w:rPr>
                <w:rFonts w:hint="eastAsia" w:ascii="宋体" w:hAnsi="宋体"/>
                <w:szCs w:val="21"/>
              </w:rPr>
              <w:t>《</w:t>
            </w:r>
            <w:r>
              <w:rPr>
                <w:rFonts w:hint="eastAsia"/>
              </w:rPr>
              <w:t>业财融合分配管理、业财税综合分析</w:t>
            </w:r>
            <w:r>
              <w:rPr>
                <w:rFonts w:hint="eastAsia" w:ascii="宋体" w:hAnsi="宋体"/>
                <w:szCs w:val="21"/>
              </w:rPr>
              <w:t>》</w:t>
            </w:r>
            <w:r>
              <w:rPr>
                <w:rFonts w:hint="eastAsia"/>
              </w:rPr>
              <w:t>、</w:t>
            </w:r>
            <w:r>
              <w:rPr>
                <w:rFonts w:hint="eastAsia" w:ascii="宋体" w:hAnsi="宋体"/>
                <w:szCs w:val="21"/>
              </w:rPr>
              <w:t>《</w:t>
            </w:r>
            <w:r>
              <w:rPr>
                <w:rFonts w:hint="eastAsia"/>
              </w:rPr>
              <w:t>业财税数据治理</w:t>
            </w:r>
            <w:r>
              <w:rPr>
                <w:rFonts w:hint="eastAsia" w:ascii="宋体" w:hAnsi="宋体"/>
                <w:szCs w:val="21"/>
              </w:rPr>
              <w:t>》</w:t>
            </w:r>
            <w:r>
              <w:rPr>
                <w:rFonts w:hint="eastAsia"/>
              </w:rPr>
              <w:t>）</w:t>
            </w:r>
          </w:p>
        </w:tc>
        <w:tc>
          <w:tcPr>
            <w:tcW w:w="2033" w:type="pct"/>
            <w:vAlign w:val="center"/>
          </w:tcPr>
          <w:p w14:paraId="2CDD7DA8">
            <w:pPr>
              <w:spacing w:line="240" w:lineRule="exact"/>
              <w:jc w:val="left"/>
              <w:rPr>
                <w:rFonts w:hint="eastAsia" w:ascii="宋体" w:hAnsi="宋体" w:cs="宋体"/>
                <w:bCs/>
                <w:szCs w:val="21"/>
              </w:rPr>
            </w:pPr>
            <w:r>
              <w:rPr>
                <w:rFonts w:hint="eastAsia" w:ascii="宋体" w:hAnsi="宋体" w:cs="宋体"/>
                <w:bCs/>
                <w:szCs w:val="21"/>
              </w:rPr>
              <w:t>定期经营分析</w:t>
            </w:r>
          </w:p>
          <w:p w14:paraId="482A5C50">
            <w:pPr>
              <w:spacing w:line="240" w:lineRule="exact"/>
              <w:jc w:val="left"/>
              <w:rPr>
                <w:rFonts w:hint="eastAsia" w:ascii="宋体" w:hAnsi="宋体" w:cs="宋体"/>
                <w:bCs/>
                <w:szCs w:val="21"/>
              </w:rPr>
            </w:pPr>
            <w:r>
              <w:rPr>
                <w:rFonts w:hint="eastAsia" w:ascii="宋体" w:hAnsi="宋体" w:cs="宋体"/>
                <w:bCs/>
                <w:szCs w:val="21"/>
              </w:rPr>
              <w:t>全面预算分析</w:t>
            </w:r>
          </w:p>
          <w:p w14:paraId="1C245171">
            <w:pPr>
              <w:spacing w:line="240" w:lineRule="exact"/>
              <w:jc w:val="left"/>
              <w:rPr>
                <w:rFonts w:hint="eastAsia" w:ascii="宋体" w:hAnsi="宋体" w:cs="宋体"/>
                <w:bCs/>
                <w:szCs w:val="21"/>
              </w:rPr>
            </w:pPr>
            <w:r>
              <w:rPr>
                <w:rFonts w:hint="eastAsia" w:ascii="宋体" w:hAnsi="宋体" w:cs="宋体"/>
                <w:bCs/>
                <w:szCs w:val="21"/>
              </w:rPr>
              <w:t>盈利性分析</w:t>
            </w:r>
          </w:p>
          <w:p w14:paraId="38551080">
            <w:pPr>
              <w:spacing w:line="240" w:lineRule="exact"/>
              <w:jc w:val="left"/>
              <w:rPr>
                <w:rFonts w:hint="eastAsia" w:ascii="宋体" w:hAnsi="宋体" w:cs="宋体"/>
                <w:bCs/>
                <w:szCs w:val="21"/>
              </w:rPr>
            </w:pPr>
            <w:r>
              <w:rPr>
                <w:rFonts w:hint="eastAsia" w:ascii="宋体" w:hAnsi="宋体" w:cs="宋体"/>
                <w:bCs/>
                <w:szCs w:val="21"/>
              </w:rPr>
              <w:t>全面资金动态分析</w:t>
            </w:r>
          </w:p>
          <w:p w14:paraId="3266DE09">
            <w:pPr>
              <w:spacing w:line="240" w:lineRule="exact"/>
              <w:jc w:val="left"/>
              <w:rPr>
                <w:rFonts w:hint="eastAsia" w:ascii="宋体" w:hAnsi="宋体" w:cs="宋体"/>
                <w:bCs/>
                <w:szCs w:val="21"/>
              </w:rPr>
            </w:pPr>
            <w:r>
              <w:rPr>
                <w:rFonts w:hint="eastAsia" w:ascii="宋体" w:hAnsi="宋体" w:cs="宋体"/>
                <w:bCs/>
                <w:szCs w:val="21"/>
              </w:rPr>
              <w:t>全面预警分析</w:t>
            </w:r>
          </w:p>
          <w:p w14:paraId="2F60C973">
            <w:pPr>
              <w:adjustRightInd w:val="0"/>
              <w:snapToGrid w:val="0"/>
              <w:rPr>
                <w:rFonts w:hint="eastAsia" w:ascii="宋体" w:hAnsi="宋体" w:cs="宋体"/>
                <w:bCs/>
                <w:szCs w:val="21"/>
              </w:rPr>
            </w:pPr>
            <w:r>
              <w:rPr>
                <w:rFonts w:hint="eastAsia" w:ascii="宋体" w:hAnsi="宋体" w:cs="宋体"/>
                <w:bCs/>
                <w:szCs w:val="21"/>
              </w:rPr>
              <w:t>战略分析</w:t>
            </w:r>
          </w:p>
          <w:p w14:paraId="2F1D13E0">
            <w:pPr>
              <w:spacing w:line="240" w:lineRule="exact"/>
              <w:jc w:val="left"/>
              <w:rPr>
                <w:rFonts w:hint="eastAsia" w:ascii="宋体" w:hAnsi="宋体" w:cs="宋体"/>
                <w:bCs/>
                <w:szCs w:val="21"/>
              </w:rPr>
            </w:pPr>
            <w:r>
              <w:rPr>
                <w:rFonts w:hint="eastAsia" w:ascii="宋体" w:hAnsi="宋体" w:cs="宋体"/>
                <w:bCs/>
                <w:szCs w:val="21"/>
              </w:rPr>
              <w:t>数据逻辑及分类</w:t>
            </w:r>
          </w:p>
          <w:p w14:paraId="09903CB7">
            <w:pPr>
              <w:spacing w:line="240" w:lineRule="exact"/>
              <w:jc w:val="left"/>
              <w:rPr>
                <w:rFonts w:hint="eastAsia" w:ascii="宋体" w:hAnsi="宋体" w:cs="宋体"/>
                <w:bCs/>
                <w:szCs w:val="21"/>
              </w:rPr>
            </w:pPr>
            <w:r>
              <w:rPr>
                <w:rFonts w:hint="eastAsia" w:ascii="宋体" w:hAnsi="宋体" w:cs="宋体"/>
                <w:bCs/>
                <w:szCs w:val="21"/>
              </w:rPr>
              <w:t>业态融合数据应用</w:t>
            </w:r>
          </w:p>
          <w:p w14:paraId="7D75DEC4">
            <w:pPr>
              <w:spacing w:line="240" w:lineRule="exact"/>
              <w:jc w:val="left"/>
              <w:rPr>
                <w:rFonts w:hint="eastAsia" w:ascii="宋体" w:hAnsi="宋体" w:cs="宋体"/>
                <w:bCs/>
                <w:szCs w:val="21"/>
              </w:rPr>
            </w:pPr>
            <w:r>
              <w:rPr>
                <w:rFonts w:hint="eastAsia" w:ascii="宋体" w:hAnsi="宋体" w:cs="宋体"/>
                <w:bCs/>
                <w:szCs w:val="21"/>
              </w:rPr>
              <w:t>业财融合数据应用</w:t>
            </w:r>
          </w:p>
          <w:p w14:paraId="2DEFFE70">
            <w:pPr>
              <w:spacing w:line="240" w:lineRule="exact"/>
              <w:jc w:val="left"/>
              <w:rPr>
                <w:rFonts w:hint="eastAsia" w:ascii="宋体" w:hAnsi="宋体" w:cs="宋体"/>
                <w:bCs/>
                <w:szCs w:val="21"/>
              </w:rPr>
            </w:pPr>
            <w:r>
              <w:rPr>
                <w:rFonts w:hint="eastAsia" w:ascii="宋体" w:hAnsi="宋体" w:cs="宋体"/>
                <w:bCs/>
                <w:szCs w:val="21"/>
              </w:rPr>
              <w:t>业税融合数据应用</w:t>
            </w:r>
          </w:p>
          <w:p w14:paraId="6B00E4A1">
            <w:pPr>
              <w:spacing w:line="240" w:lineRule="exact"/>
              <w:jc w:val="left"/>
              <w:rPr>
                <w:rFonts w:hint="eastAsia" w:ascii="宋体" w:hAnsi="宋体" w:cs="宋体"/>
                <w:bCs/>
                <w:szCs w:val="21"/>
              </w:rPr>
            </w:pPr>
            <w:r>
              <w:rPr>
                <w:rFonts w:hint="eastAsia" w:ascii="宋体" w:hAnsi="宋体" w:cs="宋体"/>
                <w:bCs/>
                <w:szCs w:val="21"/>
              </w:rPr>
              <w:t>业财税数据价值实现</w:t>
            </w:r>
          </w:p>
          <w:p w14:paraId="1C4FDB71">
            <w:pPr>
              <w:spacing w:line="240" w:lineRule="exact"/>
              <w:jc w:val="left"/>
              <w:rPr>
                <w:rFonts w:hint="eastAsia" w:ascii="宋体" w:hAnsi="宋体" w:cs="宋体"/>
                <w:bCs/>
                <w:szCs w:val="21"/>
              </w:rPr>
            </w:pPr>
            <w:r>
              <w:rPr>
                <w:rFonts w:hint="eastAsia" w:ascii="宋体" w:hAnsi="宋体" w:cs="宋体"/>
                <w:bCs/>
                <w:szCs w:val="21"/>
              </w:rPr>
              <w:t>数据资产评估与核算</w:t>
            </w:r>
          </w:p>
          <w:p w14:paraId="3EA247B5">
            <w:pPr>
              <w:adjustRightInd w:val="0"/>
              <w:snapToGrid w:val="0"/>
              <w:rPr>
                <w:rFonts w:hint="eastAsia" w:ascii="宋体" w:hAnsi="宋体" w:cs="宋体"/>
                <w:bCs/>
                <w:szCs w:val="21"/>
              </w:rPr>
            </w:pPr>
            <w:r>
              <w:rPr>
                <w:rFonts w:hint="eastAsia" w:ascii="宋体" w:hAnsi="宋体" w:cs="宋体"/>
                <w:bCs/>
                <w:szCs w:val="21"/>
              </w:rPr>
              <w:t>业财税数据治理</w:t>
            </w:r>
          </w:p>
        </w:tc>
      </w:tr>
      <w:tr w14:paraId="56FED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3" w:hRule="atLeast"/>
          <w:jc w:val="center"/>
        </w:trPr>
        <w:tc>
          <w:tcPr>
            <w:tcW w:w="418" w:type="pct"/>
            <w:shd w:val="clear" w:color="auto" w:fill="auto"/>
            <w:vAlign w:val="center"/>
          </w:tcPr>
          <w:p w14:paraId="59E18A81">
            <w:pPr>
              <w:spacing w:before="68" w:line="274" w:lineRule="auto"/>
              <w:ind w:left="112" w:right="112" w:firstLine="9"/>
              <w:jc w:val="center"/>
              <w:rPr>
                <w:rFonts w:hint="eastAsia" w:ascii="宋体" w:hAnsi="宋体"/>
                <w:szCs w:val="21"/>
              </w:rPr>
            </w:pPr>
            <w:r>
              <w:rPr>
                <w:rFonts w:hint="eastAsia" w:ascii="宋体" w:hAnsi="宋体"/>
                <w:szCs w:val="21"/>
              </w:rPr>
              <w:t>5</w:t>
            </w:r>
          </w:p>
        </w:tc>
        <w:tc>
          <w:tcPr>
            <w:tcW w:w="853" w:type="pct"/>
            <w:shd w:val="clear" w:color="auto" w:fill="auto"/>
            <w:vAlign w:val="center"/>
          </w:tcPr>
          <w:p w14:paraId="3C8B6755">
            <w:pPr>
              <w:ind w:right="112"/>
              <w:rPr>
                <w:rFonts w:hint="eastAsia" w:ascii="宋体" w:hAnsi="宋体"/>
                <w:szCs w:val="21"/>
              </w:rPr>
            </w:pPr>
            <w:r>
              <w:rPr>
                <w:rFonts w:hint="eastAsia"/>
              </w:rPr>
              <w:t>会计综合技能实训室</w:t>
            </w:r>
          </w:p>
        </w:tc>
        <w:tc>
          <w:tcPr>
            <w:tcW w:w="740" w:type="pct"/>
            <w:shd w:val="clear" w:color="auto" w:fill="auto"/>
            <w:vAlign w:val="center"/>
          </w:tcPr>
          <w:p w14:paraId="4B07F401">
            <w:pPr>
              <w:adjustRightInd w:val="0"/>
              <w:snapToGrid w:val="0"/>
              <w:jc w:val="center"/>
              <w:rPr>
                <w:rFonts w:hint="eastAsia" w:ascii="宋体" w:hAnsi="宋体"/>
                <w:szCs w:val="21"/>
              </w:rPr>
            </w:pPr>
            <w:r>
              <w:rPr>
                <w:rFonts w:hint="eastAsia" w:ascii="宋体" w:hAnsi="宋体"/>
                <w:szCs w:val="21"/>
              </w:rPr>
              <w:t>60</w:t>
            </w:r>
          </w:p>
        </w:tc>
        <w:tc>
          <w:tcPr>
            <w:tcW w:w="954" w:type="pct"/>
            <w:shd w:val="clear" w:color="auto" w:fill="auto"/>
            <w:vAlign w:val="center"/>
          </w:tcPr>
          <w:p w14:paraId="0B28B930">
            <w:pPr>
              <w:adjustRightInd w:val="0"/>
              <w:snapToGrid w:val="0"/>
              <w:jc w:val="center"/>
              <w:rPr>
                <w:rFonts w:hint="eastAsia" w:ascii="宋体" w:hAnsi="宋体"/>
                <w:szCs w:val="21"/>
              </w:rPr>
            </w:pPr>
            <w:r>
              <w:rPr>
                <w:rFonts w:hint="eastAsia"/>
              </w:rPr>
              <w:t>《</w:t>
            </w:r>
            <w:r>
              <w:rPr>
                <w:rFonts w:hint="eastAsia"/>
                <w:lang w:val="en-US" w:eastAsia="zh-CN"/>
              </w:rPr>
              <w:t>业财一体化综合实训</w:t>
            </w:r>
            <w:r>
              <w:rPr>
                <w:rFonts w:hint="eastAsia" w:ascii="宋体" w:hAnsi="宋体"/>
                <w:szCs w:val="21"/>
              </w:rPr>
              <w:t>》</w:t>
            </w:r>
          </w:p>
          <w:p w14:paraId="34550C5A">
            <w:pPr>
              <w:adjustRightInd w:val="0"/>
              <w:snapToGrid w:val="0"/>
              <w:jc w:val="center"/>
              <w:rPr>
                <w:rFonts w:hint="eastAsia" w:ascii="宋体" w:hAnsi="宋体"/>
                <w:szCs w:val="21"/>
              </w:rPr>
            </w:pPr>
            <w:r>
              <w:rPr>
                <w:rFonts w:hint="eastAsia" w:ascii="宋体" w:hAnsi="宋体"/>
                <w:szCs w:val="21"/>
              </w:rPr>
              <w:t>《会计综合技能应用》</w:t>
            </w:r>
          </w:p>
          <w:p w14:paraId="3DC7AF17">
            <w:pPr>
              <w:adjustRightInd w:val="0"/>
              <w:snapToGrid w:val="0"/>
              <w:jc w:val="center"/>
              <w:rPr>
                <w:rFonts w:hint="eastAsia" w:ascii="宋体" w:hAnsi="宋体"/>
                <w:szCs w:val="21"/>
              </w:rPr>
            </w:pPr>
            <w:r>
              <w:rPr>
                <w:rFonts w:hint="eastAsia" w:ascii="宋体" w:hAnsi="宋体"/>
                <w:szCs w:val="21"/>
              </w:rPr>
              <w:t>《税费申报与管理》</w:t>
            </w:r>
          </w:p>
        </w:tc>
        <w:tc>
          <w:tcPr>
            <w:tcW w:w="2033" w:type="pct"/>
            <w:shd w:val="clear" w:color="auto" w:fill="auto"/>
            <w:vAlign w:val="center"/>
          </w:tcPr>
          <w:p w14:paraId="3094C964">
            <w:pPr>
              <w:adjustRightInd w:val="0"/>
              <w:snapToGrid w:val="0"/>
              <w:rPr>
                <w:rFonts w:hint="eastAsia" w:ascii="宋体" w:hAnsi="宋体"/>
                <w:szCs w:val="21"/>
              </w:rPr>
            </w:pPr>
            <w:r>
              <w:rPr>
                <w:rFonts w:hint="eastAsia" w:ascii="宋体" w:hAnsi="宋体"/>
                <w:szCs w:val="21"/>
              </w:rPr>
              <w:t>围绕财务智能应用、业财数据分析、动态精细运营等工作环节，企业数智化升级财务岗位群的典型工作任务，以提升学生专业综合实力</w:t>
            </w:r>
          </w:p>
        </w:tc>
      </w:tr>
      <w:tr w14:paraId="0F355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418" w:type="pct"/>
            <w:vAlign w:val="center"/>
          </w:tcPr>
          <w:p w14:paraId="09C356F4">
            <w:pPr>
              <w:spacing w:before="68" w:line="274" w:lineRule="auto"/>
              <w:ind w:left="112" w:right="112" w:firstLine="9"/>
              <w:jc w:val="center"/>
              <w:rPr>
                <w:rFonts w:hint="eastAsia" w:ascii="宋体" w:hAnsi="宋体"/>
                <w:szCs w:val="21"/>
              </w:rPr>
            </w:pPr>
            <w:r>
              <w:rPr>
                <w:rFonts w:hint="eastAsia" w:ascii="宋体" w:hAnsi="宋体"/>
                <w:szCs w:val="21"/>
              </w:rPr>
              <w:t>6</w:t>
            </w:r>
          </w:p>
        </w:tc>
        <w:tc>
          <w:tcPr>
            <w:tcW w:w="853" w:type="pct"/>
            <w:shd w:val="clear" w:color="auto" w:fill="auto"/>
            <w:vAlign w:val="center"/>
          </w:tcPr>
          <w:p w14:paraId="25EB7C93">
            <w:pPr>
              <w:ind w:right="112"/>
              <w:rPr>
                <w:rFonts w:hint="eastAsia" w:ascii="宋体" w:hAnsi="宋体"/>
                <w:szCs w:val="21"/>
              </w:rPr>
            </w:pPr>
            <w:r>
              <w:rPr>
                <w:rFonts w:hint="eastAsia" w:ascii="宋体" w:hAnsi="宋体"/>
                <w:szCs w:val="21"/>
              </w:rPr>
              <w:t>数智</w:t>
            </w:r>
            <w:r>
              <w:rPr>
                <w:rFonts w:ascii="宋体" w:hAnsi="宋体"/>
                <w:szCs w:val="21"/>
              </w:rPr>
              <w:t>企业经营与流程项目</w:t>
            </w:r>
            <w:r>
              <w:rPr>
                <w:rFonts w:hint="eastAsia" w:ascii="宋体" w:hAnsi="宋体"/>
                <w:szCs w:val="21"/>
              </w:rPr>
              <w:t>（</w:t>
            </w:r>
            <w:r>
              <w:rPr>
                <w:rFonts w:ascii="宋体" w:hAnsi="宋体"/>
                <w:szCs w:val="21"/>
              </w:rPr>
              <w:t>ERP 沙盘</w:t>
            </w:r>
            <w:r>
              <w:rPr>
                <w:rFonts w:hint="eastAsia" w:ascii="宋体" w:hAnsi="宋体"/>
                <w:szCs w:val="21"/>
              </w:rPr>
              <w:t>）</w:t>
            </w:r>
            <w:r>
              <w:rPr>
                <w:rFonts w:ascii="宋体" w:hAnsi="宋体"/>
                <w:szCs w:val="21"/>
              </w:rPr>
              <w:t>实训室</w:t>
            </w:r>
          </w:p>
        </w:tc>
        <w:tc>
          <w:tcPr>
            <w:tcW w:w="740" w:type="pct"/>
            <w:shd w:val="clear" w:color="auto" w:fill="auto"/>
            <w:vAlign w:val="center"/>
          </w:tcPr>
          <w:p w14:paraId="5616D424">
            <w:pPr>
              <w:adjustRightInd w:val="0"/>
              <w:snapToGrid w:val="0"/>
              <w:jc w:val="center"/>
              <w:rPr>
                <w:rFonts w:hint="eastAsia" w:ascii="宋体" w:hAnsi="宋体"/>
                <w:szCs w:val="21"/>
              </w:rPr>
            </w:pPr>
            <w:r>
              <w:rPr>
                <w:rFonts w:hint="eastAsia" w:ascii="宋体" w:hAnsi="宋体"/>
                <w:szCs w:val="21"/>
              </w:rPr>
              <w:t>60</w:t>
            </w:r>
          </w:p>
        </w:tc>
        <w:tc>
          <w:tcPr>
            <w:tcW w:w="954" w:type="pct"/>
            <w:shd w:val="clear" w:color="auto" w:fill="auto"/>
            <w:vAlign w:val="center"/>
          </w:tcPr>
          <w:p w14:paraId="44D54085">
            <w:pPr>
              <w:adjustRightInd w:val="0"/>
              <w:snapToGrid w:val="0"/>
              <w:jc w:val="center"/>
              <w:rPr>
                <w:rFonts w:hint="eastAsia" w:ascii="宋体" w:hAnsi="宋体"/>
                <w:szCs w:val="21"/>
              </w:rPr>
            </w:pPr>
            <w:r>
              <w:rPr>
                <w:rFonts w:hint="eastAsia" w:ascii="宋体" w:hAnsi="宋体"/>
                <w:szCs w:val="21"/>
              </w:rPr>
              <w:t>《企业经营沙盘模拟》</w:t>
            </w:r>
          </w:p>
        </w:tc>
        <w:tc>
          <w:tcPr>
            <w:tcW w:w="2033" w:type="pct"/>
            <w:shd w:val="clear" w:color="auto" w:fill="auto"/>
            <w:vAlign w:val="center"/>
          </w:tcPr>
          <w:p w14:paraId="4419072E">
            <w:pPr>
              <w:adjustRightInd w:val="0"/>
              <w:snapToGrid w:val="0"/>
              <w:rPr>
                <w:rFonts w:hint="eastAsia" w:ascii="宋体" w:hAnsi="宋体"/>
                <w:szCs w:val="21"/>
              </w:rPr>
            </w:pPr>
            <w:r>
              <w:rPr>
                <w:rFonts w:ascii="宋体" w:hAnsi="宋体"/>
                <w:szCs w:val="21"/>
              </w:rPr>
              <w:t>模拟</w:t>
            </w:r>
            <w:r>
              <w:rPr>
                <w:rFonts w:hint="eastAsia" w:ascii="宋体" w:hAnsi="宋体"/>
                <w:szCs w:val="21"/>
              </w:rPr>
              <w:t>数智</w:t>
            </w:r>
            <w:r>
              <w:rPr>
                <w:rFonts w:ascii="宋体" w:hAnsi="宋体"/>
                <w:szCs w:val="21"/>
              </w:rPr>
              <w:t>企业经营和企业团队建设、企业运营战略、营销管理、生产管理和财务管理流程等实训。</w:t>
            </w:r>
          </w:p>
        </w:tc>
      </w:tr>
    </w:tbl>
    <w:p w14:paraId="0CC61BB4">
      <w:pPr>
        <w:adjustRightInd w:val="0"/>
        <w:snapToGrid w:val="0"/>
        <w:spacing w:line="360" w:lineRule="auto"/>
        <w:jc w:val="center"/>
        <w:rPr>
          <w:rFonts w:ascii="宋体" w:cs="Angsana New"/>
          <w:b/>
          <w:sz w:val="24"/>
          <w:szCs w:val="24"/>
          <w:lang w:bidi="th-TH"/>
        </w:rPr>
      </w:pPr>
    </w:p>
    <w:p w14:paraId="272191BF">
      <w:pPr>
        <w:adjustRightInd w:val="0"/>
        <w:snapToGrid w:val="0"/>
        <w:spacing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4DE11F8E">
      <w:pPr>
        <w:adjustRightInd w:val="0"/>
        <w:snapToGrid w:val="0"/>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业财数据应用与管理专业应建立稳定的校外实训基地，能提供会计核算、会计监督等相关实习岗位，能涵盖当前相关产业发展的主流技术，可接纳一定规模的学生实习，能够配备相应数量的指导教师对学生实习</w:t>
      </w:r>
    </w:p>
    <w:p w14:paraId="50847C40">
      <w:pPr>
        <w:adjustRightInd w:val="0"/>
        <w:snapToGrid w:val="0"/>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进行指导和管理，保证专业的认识实习、顶岗实习等教学任务实施。</w:t>
      </w:r>
    </w:p>
    <w:p w14:paraId="059F9226">
      <w:pPr>
        <w:adjustRightInd w:val="0"/>
        <w:snapToGrid w:val="0"/>
        <w:jc w:val="center"/>
        <w:rPr>
          <w:rFonts w:hint="eastAsia" w:ascii="宋体" w:hAnsi="宋体"/>
          <w:b/>
          <w:bCs/>
          <w:kern w:val="0"/>
          <w:szCs w:val="21"/>
        </w:rPr>
      </w:pPr>
      <w:bookmarkStart w:id="7" w:name="_Hlk133049042"/>
      <w:r>
        <w:rPr>
          <w:rFonts w:hint="eastAsia" w:ascii="宋体" w:hAnsi="宋体"/>
          <w:b/>
          <w:bCs/>
          <w:kern w:val="0"/>
          <w:szCs w:val="21"/>
        </w:rPr>
        <w:t>表</w:t>
      </w:r>
      <w:r>
        <w:rPr>
          <w:rFonts w:ascii="宋体" w:hAnsi="宋体"/>
          <w:b/>
          <w:bCs/>
          <w:kern w:val="0"/>
          <w:szCs w:val="21"/>
        </w:rPr>
        <w:t xml:space="preserve">10  </w:t>
      </w:r>
      <w:r>
        <w:rPr>
          <w:rFonts w:hint="eastAsia" w:ascii="宋体" w:hAnsi="宋体"/>
          <w:b/>
          <w:bCs/>
          <w:kern w:val="0"/>
          <w:szCs w:val="21"/>
        </w:rPr>
        <w:t>校外实训室（基地）表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1726"/>
        <w:gridCol w:w="1019"/>
        <w:gridCol w:w="2228"/>
        <w:gridCol w:w="2805"/>
      </w:tblGrid>
      <w:tr w14:paraId="38C2D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40" w:type="pct"/>
            <w:vAlign w:val="center"/>
          </w:tcPr>
          <w:p w14:paraId="55B668B0">
            <w:pPr>
              <w:adjustRightInd w:val="0"/>
              <w:snapToGrid w:val="0"/>
              <w:jc w:val="center"/>
              <w:rPr>
                <w:rFonts w:ascii="宋体"/>
                <w:szCs w:val="21"/>
              </w:rPr>
            </w:pPr>
            <w:r>
              <w:rPr>
                <w:rFonts w:hint="eastAsia" w:ascii="宋体" w:hAnsi="宋体"/>
                <w:szCs w:val="21"/>
              </w:rPr>
              <w:t>序号</w:t>
            </w:r>
          </w:p>
        </w:tc>
        <w:tc>
          <w:tcPr>
            <w:tcW w:w="989" w:type="pct"/>
            <w:vAlign w:val="center"/>
          </w:tcPr>
          <w:p w14:paraId="51DAFA35">
            <w:pPr>
              <w:adjustRightInd w:val="0"/>
              <w:snapToGrid w:val="0"/>
              <w:jc w:val="center"/>
              <w:rPr>
                <w:rFonts w:ascii="宋体"/>
                <w:szCs w:val="21"/>
              </w:rPr>
            </w:pPr>
            <w:r>
              <w:rPr>
                <w:rFonts w:hint="eastAsia" w:ascii="宋体" w:hAnsi="宋体"/>
                <w:szCs w:val="21"/>
              </w:rPr>
              <w:t>实训室（基地）名称</w:t>
            </w:r>
          </w:p>
        </w:tc>
        <w:tc>
          <w:tcPr>
            <w:tcW w:w="584" w:type="pct"/>
            <w:vAlign w:val="center"/>
          </w:tcPr>
          <w:p w14:paraId="58BDAE07">
            <w:pPr>
              <w:adjustRightInd w:val="0"/>
              <w:snapToGrid w:val="0"/>
              <w:jc w:val="center"/>
              <w:rPr>
                <w:rFonts w:ascii="宋体"/>
                <w:szCs w:val="21"/>
              </w:rPr>
            </w:pPr>
            <w:r>
              <w:rPr>
                <w:rFonts w:hint="eastAsia" w:ascii="宋体" w:hAnsi="宋体"/>
                <w:szCs w:val="21"/>
              </w:rPr>
              <w:t>工位数</w:t>
            </w:r>
          </w:p>
        </w:tc>
        <w:tc>
          <w:tcPr>
            <w:tcW w:w="1277" w:type="pct"/>
            <w:vAlign w:val="center"/>
          </w:tcPr>
          <w:p w14:paraId="7FCA1629">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1607" w:type="pct"/>
            <w:vAlign w:val="center"/>
          </w:tcPr>
          <w:p w14:paraId="06C11803">
            <w:pPr>
              <w:adjustRightInd w:val="0"/>
              <w:snapToGrid w:val="0"/>
              <w:jc w:val="center"/>
              <w:rPr>
                <w:rFonts w:ascii="宋体"/>
                <w:szCs w:val="21"/>
              </w:rPr>
            </w:pPr>
            <w:r>
              <w:rPr>
                <w:rFonts w:hint="eastAsia" w:ascii="宋体" w:hAnsi="宋体"/>
                <w:szCs w:val="21"/>
              </w:rPr>
              <w:t>实训内容</w:t>
            </w:r>
          </w:p>
        </w:tc>
      </w:tr>
      <w:tr w14:paraId="78B1A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62298C2F">
            <w:pPr>
              <w:adjustRightInd w:val="0"/>
              <w:snapToGrid w:val="0"/>
              <w:jc w:val="center"/>
              <w:rPr>
                <w:rFonts w:hint="eastAsia" w:ascii="宋体" w:hAnsi="宋体" w:eastAsia="宋体"/>
                <w:szCs w:val="21"/>
                <w:lang w:val="en-US" w:eastAsia="zh-CN"/>
              </w:rPr>
            </w:pPr>
            <w:r>
              <w:rPr>
                <w:rFonts w:hint="eastAsia" w:ascii="宋体" w:hAnsi="宋体"/>
                <w:szCs w:val="21"/>
                <w:lang w:val="en-US" w:eastAsia="zh-CN"/>
              </w:rPr>
              <w:t>1</w:t>
            </w:r>
          </w:p>
        </w:tc>
        <w:tc>
          <w:tcPr>
            <w:tcW w:w="989" w:type="pct"/>
            <w:vAlign w:val="center"/>
          </w:tcPr>
          <w:p w14:paraId="4506CDBB">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云南知信会计师事务所</w:t>
            </w:r>
          </w:p>
        </w:tc>
        <w:tc>
          <w:tcPr>
            <w:tcW w:w="584" w:type="pct"/>
            <w:vAlign w:val="center"/>
          </w:tcPr>
          <w:p w14:paraId="07B59979">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7CF36DBD">
            <w:pPr>
              <w:adjustRightInd w:val="0"/>
              <w:snapToGrid w:val="0"/>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财务管理综合实训</w:t>
            </w:r>
            <w:r>
              <w:rPr>
                <w:rFonts w:hint="eastAsia" w:ascii="宋体" w:hAnsi="宋体"/>
                <w:szCs w:val="21"/>
                <w:lang w:eastAsia="zh-CN"/>
              </w:rPr>
              <w:t>》、《</w:t>
            </w:r>
            <w:r>
              <w:rPr>
                <w:rFonts w:hint="eastAsia" w:ascii="宋体" w:hAnsi="宋体"/>
                <w:szCs w:val="21"/>
                <w:lang w:val="en-US" w:eastAsia="zh-CN"/>
              </w:rPr>
              <w:t>业财一体化综合实训</w:t>
            </w: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4DFE4D69">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业财融合下的账务处理的课程教学和岗位实习。</w:t>
            </w:r>
          </w:p>
        </w:tc>
      </w:tr>
      <w:tr w14:paraId="132A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2657388F">
            <w:pPr>
              <w:adjustRightInd w:val="0"/>
              <w:snapToGrid w:val="0"/>
              <w:jc w:val="center"/>
              <w:rPr>
                <w:rFonts w:hint="eastAsia" w:ascii="宋体" w:hAnsi="宋体" w:eastAsia="宋体"/>
                <w:szCs w:val="21"/>
                <w:lang w:eastAsia="zh-CN"/>
              </w:rPr>
            </w:pPr>
            <w:r>
              <w:rPr>
                <w:rFonts w:hint="eastAsia" w:ascii="宋体" w:hAnsi="宋体"/>
                <w:szCs w:val="21"/>
                <w:lang w:val="en-US" w:eastAsia="zh-CN"/>
              </w:rPr>
              <w:t>2</w:t>
            </w:r>
          </w:p>
        </w:tc>
        <w:tc>
          <w:tcPr>
            <w:tcW w:w="989" w:type="pct"/>
            <w:vAlign w:val="center"/>
          </w:tcPr>
          <w:p w14:paraId="7B217EF7">
            <w:pPr>
              <w:adjustRightInd w:val="0"/>
              <w:snapToGrid w:val="0"/>
              <w:jc w:val="center"/>
              <w:rPr>
                <w:rFonts w:hint="eastAsia" w:ascii="宋体" w:hAnsi="宋体"/>
                <w:szCs w:val="21"/>
              </w:rPr>
            </w:pPr>
            <w:r>
              <w:rPr>
                <w:rFonts w:hint="eastAsia" w:ascii="宋体" w:hAnsi="宋体"/>
                <w:szCs w:val="21"/>
              </w:rPr>
              <w:t>爱尔信集团有限公司</w:t>
            </w:r>
          </w:p>
        </w:tc>
        <w:tc>
          <w:tcPr>
            <w:tcW w:w="584" w:type="pct"/>
            <w:vAlign w:val="center"/>
          </w:tcPr>
          <w:p w14:paraId="4F10D2B3">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536FF85D">
            <w:pPr>
              <w:adjustRightInd w:val="0"/>
              <w:snapToGrid w:val="0"/>
              <w:jc w:val="center"/>
              <w:rPr>
                <w:rFonts w:hint="eastAsia" w:ascii="宋体" w:hAnsi="宋体" w:eastAsia="宋体"/>
                <w:szCs w:val="21"/>
                <w:lang w:eastAsia="zh-CN"/>
              </w:rPr>
            </w:pPr>
            <w:r>
              <w:rPr>
                <w:rFonts w:hint="eastAsia" w:ascii="宋体" w:hAnsi="宋体"/>
                <w:szCs w:val="21"/>
              </w:rPr>
              <w:t>《会计综合技能应用》</w:t>
            </w:r>
            <w:r>
              <w:rPr>
                <w:rFonts w:hint="eastAsia" w:ascii="宋体" w:hAnsi="宋体"/>
                <w:szCs w:val="21"/>
                <w:lang w:eastAsia="zh-CN"/>
              </w:rPr>
              <w:t>、</w:t>
            </w:r>
            <w:r>
              <w:rPr>
                <w:rFonts w:hint="eastAsia" w:ascii="宋体" w:hAnsi="宋体"/>
                <w:szCs w:val="21"/>
              </w:rPr>
              <w:t>《</w:t>
            </w:r>
            <w:r>
              <w:rPr>
                <w:rFonts w:hint="eastAsia" w:ascii="宋体" w:hAnsi="宋体"/>
                <w:szCs w:val="21"/>
                <w:lang w:val="en-US" w:eastAsia="zh-CN"/>
              </w:rPr>
              <w:t>业财一体化综合实训》、《岗位实习》</w:t>
            </w:r>
          </w:p>
        </w:tc>
        <w:tc>
          <w:tcPr>
            <w:tcW w:w="1607" w:type="pct"/>
            <w:vAlign w:val="center"/>
          </w:tcPr>
          <w:p w14:paraId="0997F1BD">
            <w:pPr>
              <w:adjustRightInd w:val="0"/>
              <w:snapToGrid w:val="0"/>
              <w:jc w:val="center"/>
              <w:rPr>
                <w:rFonts w:hint="eastAsia" w:ascii="宋体" w:hAnsi="宋体"/>
                <w:szCs w:val="21"/>
              </w:rPr>
            </w:pPr>
            <w:r>
              <w:rPr>
                <w:rFonts w:hint="eastAsia" w:ascii="宋体" w:hAnsi="宋体"/>
                <w:szCs w:val="21"/>
                <w:lang w:val="en-US" w:eastAsia="zh-CN"/>
              </w:rPr>
              <w:t>业财融合下的财务处理的课程教学和岗位实习</w:t>
            </w:r>
            <w:r>
              <w:rPr>
                <w:rFonts w:hint="eastAsia" w:ascii="宋体" w:hAnsi="宋体"/>
                <w:szCs w:val="21"/>
              </w:rPr>
              <w:t>。</w:t>
            </w:r>
          </w:p>
          <w:p w14:paraId="25218CFE">
            <w:pPr>
              <w:adjustRightInd w:val="0"/>
              <w:snapToGrid w:val="0"/>
              <w:jc w:val="center"/>
              <w:rPr>
                <w:rFonts w:hint="eastAsia" w:ascii="宋体" w:hAnsi="宋体"/>
                <w:szCs w:val="21"/>
              </w:rPr>
            </w:pPr>
          </w:p>
        </w:tc>
      </w:tr>
      <w:tr w14:paraId="32B7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6A60FF51">
            <w:pPr>
              <w:adjustRightInd w:val="0"/>
              <w:snapToGrid w:val="0"/>
              <w:jc w:val="center"/>
              <w:rPr>
                <w:rFonts w:hint="eastAsia" w:ascii="宋体" w:hAnsi="宋体" w:eastAsia="宋体"/>
                <w:szCs w:val="21"/>
                <w:lang w:eastAsia="zh-CN"/>
              </w:rPr>
            </w:pPr>
            <w:r>
              <w:rPr>
                <w:rFonts w:hint="eastAsia" w:ascii="宋体" w:hAnsi="宋体"/>
                <w:szCs w:val="21"/>
                <w:lang w:val="en-US" w:eastAsia="zh-CN"/>
              </w:rPr>
              <w:t>3</w:t>
            </w:r>
          </w:p>
        </w:tc>
        <w:tc>
          <w:tcPr>
            <w:tcW w:w="989" w:type="pct"/>
            <w:vAlign w:val="center"/>
          </w:tcPr>
          <w:p w14:paraId="262FC2A9">
            <w:pPr>
              <w:adjustRightInd w:val="0"/>
              <w:snapToGrid w:val="0"/>
              <w:jc w:val="center"/>
              <w:rPr>
                <w:rFonts w:hint="eastAsia" w:ascii="宋体" w:hAnsi="宋体"/>
                <w:szCs w:val="21"/>
              </w:rPr>
            </w:pPr>
            <w:r>
              <w:rPr>
                <w:rFonts w:hint="eastAsia" w:ascii="宋体" w:hAnsi="宋体"/>
                <w:szCs w:val="21"/>
              </w:rPr>
              <w:t>恒诺薇电子集团</w:t>
            </w:r>
          </w:p>
        </w:tc>
        <w:tc>
          <w:tcPr>
            <w:tcW w:w="584" w:type="pct"/>
            <w:vAlign w:val="center"/>
          </w:tcPr>
          <w:p w14:paraId="114B8704">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19877215">
            <w:pPr>
              <w:adjustRightInd w:val="0"/>
              <w:snapToGrid w:val="0"/>
              <w:rPr>
                <w:rFonts w:hint="default" w:ascii="宋体" w:hAnsi="宋体" w:eastAsia="宋体"/>
                <w:szCs w:val="21"/>
                <w:lang w:val="en-US" w:eastAsia="zh-CN"/>
              </w:rPr>
            </w:pPr>
            <w:r>
              <w:rPr>
                <w:rFonts w:hint="eastAsia" w:ascii="宋体" w:hAnsi="宋体"/>
                <w:szCs w:val="21"/>
                <w:lang w:val="en-US" w:eastAsia="zh-CN"/>
              </w:rPr>
              <w:t>《岗位实习》</w:t>
            </w:r>
          </w:p>
        </w:tc>
        <w:tc>
          <w:tcPr>
            <w:tcW w:w="1607" w:type="pct"/>
            <w:vAlign w:val="center"/>
          </w:tcPr>
          <w:p w14:paraId="6393A895">
            <w:pPr>
              <w:adjustRightInd w:val="0"/>
              <w:snapToGrid w:val="0"/>
              <w:jc w:val="center"/>
              <w:rPr>
                <w:rFonts w:hint="eastAsia" w:ascii="宋体" w:hAnsi="宋体" w:eastAsia="宋体"/>
                <w:szCs w:val="21"/>
                <w:lang w:eastAsia="zh-CN"/>
              </w:rPr>
            </w:pPr>
            <w:r>
              <w:rPr>
                <w:rFonts w:hint="eastAsia" w:ascii="宋体" w:hAnsi="宋体"/>
                <w:szCs w:val="21"/>
              </w:rPr>
              <w:t>基于企业真实业务、依托企业数智化管理软件相应业务模块流程进行实习</w:t>
            </w:r>
            <w:r>
              <w:rPr>
                <w:rFonts w:hint="eastAsia" w:ascii="宋体" w:hAnsi="宋体"/>
                <w:szCs w:val="21"/>
                <w:lang w:eastAsia="zh-CN"/>
              </w:rPr>
              <w:t>。</w:t>
            </w:r>
          </w:p>
        </w:tc>
      </w:tr>
      <w:tr w14:paraId="11F2D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pct"/>
            <w:vAlign w:val="center"/>
          </w:tcPr>
          <w:p w14:paraId="3A3F3586">
            <w:pPr>
              <w:adjustRightInd w:val="0"/>
              <w:snapToGrid w:val="0"/>
              <w:jc w:val="center"/>
              <w:rPr>
                <w:rFonts w:hint="eastAsia" w:ascii="宋体" w:hAnsi="宋体" w:eastAsia="宋体"/>
                <w:szCs w:val="21"/>
                <w:lang w:eastAsia="zh-CN"/>
              </w:rPr>
            </w:pPr>
            <w:r>
              <w:rPr>
                <w:rFonts w:hint="eastAsia" w:ascii="宋体" w:hAnsi="宋体"/>
                <w:szCs w:val="21"/>
                <w:lang w:val="en-US" w:eastAsia="zh-CN"/>
              </w:rPr>
              <w:t>4</w:t>
            </w:r>
          </w:p>
        </w:tc>
        <w:tc>
          <w:tcPr>
            <w:tcW w:w="989" w:type="pct"/>
            <w:vAlign w:val="center"/>
          </w:tcPr>
          <w:p w14:paraId="25F52E79">
            <w:pPr>
              <w:adjustRightInd w:val="0"/>
              <w:snapToGrid w:val="0"/>
              <w:jc w:val="center"/>
              <w:rPr>
                <w:rFonts w:hint="eastAsia" w:ascii="宋体" w:hAnsi="宋体"/>
                <w:szCs w:val="21"/>
              </w:rPr>
            </w:pPr>
            <w:r>
              <w:rPr>
                <w:rFonts w:hint="eastAsia" w:ascii="宋体" w:hAnsi="宋体"/>
                <w:szCs w:val="21"/>
              </w:rPr>
              <w:t>万乘集团</w:t>
            </w:r>
          </w:p>
        </w:tc>
        <w:tc>
          <w:tcPr>
            <w:tcW w:w="584" w:type="pct"/>
            <w:vAlign w:val="center"/>
          </w:tcPr>
          <w:p w14:paraId="4A0494CC">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2CCD42D5">
            <w:pPr>
              <w:adjustRightInd w:val="0"/>
              <w:snapToGrid w:val="0"/>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5989AE5C">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基于万乘集团真实业务，进行投融资相关业务的实习。</w:t>
            </w:r>
          </w:p>
        </w:tc>
      </w:tr>
      <w:tr w14:paraId="4FD54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2C0CF672">
            <w:pPr>
              <w:adjustRightInd w:val="0"/>
              <w:snapToGrid w:val="0"/>
              <w:jc w:val="center"/>
              <w:rPr>
                <w:rFonts w:hint="eastAsia" w:ascii="宋体" w:hAnsi="宋体" w:eastAsia="宋体"/>
                <w:szCs w:val="21"/>
                <w:lang w:eastAsia="zh-CN"/>
              </w:rPr>
            </w:pPr>
            <w:r>
              <w:rPr>
                <w:rFonts w:hint="eastAsia" w:ascii="宋体" w:hAnsi="宋体"/>
                <w:szCs w:val="21"/>
                <w:lang w:val="en-US" w:eastAsia="zh-CN"/>
              </w:rPr>
              <w:t>5</w:t>
            </w:r>
          </w:p>
        </w:tc>
        <w:tc>
          <w:tcPr>
            <w:tcW w:w="989" w:type="pct"/>
            <w:vAlign w:val="center"/>
          </w:tcPr>
          <w:p w14:paraId="08573A13">
            <w:pPr>
              <w:adjustRightInd w:val="0"/>
              <w:snapToGrid w:val="0"/>
              <w:jc w:val="center"/>
              <w:rPr>
                <w:rFonts w:hint="eastAsia" w:ascii="宋体" w:hAnsi="宋体"/>
                <w:szCs w:val="21"/>
              </w:rPr>
            </w:pPr>
            <w:r>
              <w:rPr>
                <w:rFonts w:hint="eastAsia" w:ascii="宋体" w:hAnsi="宋体"/>
                <w:szCs w:val="21"/>
              </w:rPr>
              <w:t>索菲特国际酒店</w:t>
            </w:r>
          </w:p>
        </w:tc>
        <w:tc>
          <w:tcPr>
            <w:tcW w:w="584" w:type="pct"/>
            <w:vAlign w:val="center"/>
          </w:tcPr>
          <w:p w14:paraId="155BA965">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787E4DE5">
            <w:pPr>
              <w:adjustRightInd w:val="0"/>
              <w:snapToGrid w:val="0"/>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4F78294D">
            <w:pPr>
              <w:adjustRightInd w:val="0"/>
              <w:snapToGrid w:val="0"/>
              <w:jc w:val="center"/>
              <w:rPr>
                <w:rFonts w:hint="eastAsia" w:ascii="宋体" w:hAnsi="宋体" w:eastAsia="宋体"/>
                <w:szCs w:val="21"/>
                <w:lang w:eastAsia="zh-CN"/>
              </w:rPr>
            </w:pPr>
            <w:r>
              <w:rPr>
                <w:rFonts w:hint="eastAsia" w:ascii="宋体" w:hAnsi="宋体"/>
                <w:szCs w:val="21"/>
              </w:rPr>
              <w:t>基于索菲特国际酒店真实业务、依托企业数智化管理软件相应业务模块流程及相应数据分析进行实习</w:t>
            </w:r>
            <w:r>
              <w:rPr>
                <w:rFonts w:hint="eastAsia" w:ascii="宋体" w:hAnsi="宋体"/>
                <w:szCs w:val="21"/>
                <w:lang w:eastAsia="zh-CN"/>
              </w:rPr>
              <w:t>。</w:t>
            </w:r>
          </w:p>
        </w:tc>
      </w:tr>
      <w:tr w14:paraId="019F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57B5951A">
            <w:pPr>
              <w:adjustRightInd w:val="0"/>
              <w:snapToGrid w:val="0"/>
              <w:jc w:val="center"/>
              <w:rPr>
                <w:rFonts w:hint="default" w:ascii="宋体" w:hAnsi="宋体"/>
                <w:szCs w:val="21"/>
                <w:lang w:val="en-US" w:eastAsia="zh-CN"/>
              </w:rPr>
            </w:pPr>
            <w:r>
              <w:rPr>
                <w:rFonts w:hint="eastAsia" w:ascii="宋体" w:hAnsi="宋体"/>
                <w:szCs w:val="21"/>
                <w:lang w:val="en-US" w:eastAsia="zh-CN"/>
              </w:rPr>
              <w:t>6</w:t>
            </w:r>
          </w:p>
        </w:tc>
        <w:tc>
          <w:tcPr>
            <w:tcW w:w="989" w:type="pct"/>
            <w:vAlign w:val="center"/>
          </w:tcPr>
          <w:p w14:paraId="2F97A3BB">
            <w:pPr>
              <w:adjustRightInd w:val="0"/>
              <w:snapToGrid w:val="0"/>
              <w:jc w:val="center"/>
              <w:rPr>
                <w:rFonts w:hint="eastAsia" w:ascii="宋体" w:hAnsi="宋体"/>
                <w:szCs w:val="21"/>
              </w:rPr>
            </w:pPr>
            <w:r>
              <w:rPr>
                <w:rFonts w:hint="eastAsia" w:ascii="宋体" w:hAnsi="宋体"/>
                <w:szCs w:val="21"/>
              </w:rPr>
              <w:t>面包工坊</w:t>
            </w:r>
          </w:p>
        </w:tc>
        <w:tc>
          <w:tcPr>
            <w:tcW w:w="584" w:type="pct"/>
            <w:vAlign w:val="center"/>
          </w:tcPr>
          <w:p w14:paraId="35D08B49">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3676397C">
            <w:pPr>
              <w:adjustRightInd w:val="0"/>
              <w:snapToGrid w:val="0"/>
              <w:jc w:val="center"/>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4FA5ED54">
            <w:pPr>
              <w:adjustRightInd w:val="0"/>
              <w:snapToGrid w:val="0"/>
              <w:jc w:val="center"/>
              <w:rPr>
                <w:rFonts w:hint="eastAsia" w:ascii="宋体" w:hAnsi="宋体"/>
                <w:szCs w:val="21"/>
              </w:rPr>
            </w:pPr>
            <w:r>
              <w:rPr>
                <w:rFonts w:hint="eastAsia" w:ascii="宋体" w:hAnsi="宋体"/>
                <w:szCs w:val="21"/>
              </w:rPr>
              <w:t>基于企业真实业务、依托企业数智化管理软件相应业务模块流程进行实习（主要集中在财务核算）。</w:t>
            </w:r>
          </w:p>
        </w:tc>
      </w:tr>
      <w:tr w14:paraId="56265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540" w:type="pct"/>
            <w:vAlign w:val="center"/>
          </w:tcPr>
          <w:p w14:paraId="70675B6D">
            <w:pPr>
              <w:adjustRightInd w:val="0"/>
              <w:snapToGrid w:val="0"/>
              <w:jc w:val="center"/>
              <w:rPr>
                <w:rFonts w:hint="default" w:ascii="宋体" w:hAnsi="宋体"/>
                <w:szCs w:val="21"/>
                <w:lang w:val="en-US" w:eastAsia="zh-CN"/>
              </w:rPr>
            </w:pPr>
            <w:r>
              <w:rPr>
                <w:rFonts w:hint="eastAsia" w:ascii="宋体" w:hAnsi="宋体"/>
                <w:szCs w:val="21"/>
                <w:lang w:val="en-US" w:eastAsia="zh-CN"/>
              </w:rPr>
              <w:t>7</w:t>
            </w:r>
          </w:p>
        </w:tc>
        <w:tc>
          <w:tcPr>
            <w:tcW w:w="989" w:type="pct"/>
            <w:vAlign w:val="center"/>
          </w:tcPr>
          <w:p w14:paraId="4C53F994">
            <w:pPr>
              <w:adjustRightInd w:val="0"/>
              <w:snapToGrid w:val="0"/>
              <w:jc w:val="center"/>
              <w:rPr>
                <w:rFonts w:hint="eastAsia" w:ascii="宋体" w:hAnsi="宋体"/>
                <w:szCs w:val="21"/>
              </w:rPr>
            </w:pPr>
            <w:r>
              <w:rPr>
                <w:rFonts w:hint="eastAsia" w:ascii="宋体" w:hAnsi="宋体"/>
                <w:szCs w:val="21"/>
              </w:rPr>
              <w:t>浙江隆聚餐饮集团</w:t>
            </w:r>
          </w:p>
        </w:tc>
        <w:tc>
          <w:tcPr>
            <w:tcW w:w="584" w:type="pct"/>
            <w:vAlign w:val="center"/>
          </w:tcPr>
          <w:p w14:paraId="40BE9A13">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74E43D0E">
            <w:pPr>
              <w:adjustRightInd w:val="0"/>
              <w:snapToGrid w:val="0"/>
              <w:jc w:val="center"/>
              <w:rPr>
                <w:rFonts w:hint="eastAsia" w:ascii="宋体" w:hAnsi="宋体"/>
                <w:szCs w:val="21"/>
                <w:lang w:eastAsia="zh-CN"/>
              </w:rPr>
            </w:pP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7919046E">
            <w:pPr>
              <w:adjustRightInd w:val="0"/>
              <w:snapToGrid w:val="0"/>
              <w:jc w:val="center"/>
              <w:rPr>
                <w:rFonts w:hint="eastAsia" w:ascii="宋体" w:hAnsi="宋体" w:eastAsia="宋体"/>
                <w:szCs w:val="21"/>
                <w:lang w:val="en-US" w:eastAsia="zh-CN"/>
              </w:rPr>
            </w:pPr>
            <w:r>
              <w:rPr>
                <w:rFonts w:hint="eastAsia" w:ascii="宋体" w:hAnsi="宋体"/>
                <w:szCs w:val="21"/>
                <w:lang w:val="en-US" w:eastAsia="zh-CN"/>
              </w:rPr>
              <w:t>认知</w:t>
            </w:r>
            <w:r>
              <w:rPr>
                <w:rFonts w:hint="eastAsia" w:ascii="宋体" w:hAnsi="宋体"/>
                <w:szCs w:val="21"/>
              </w:rPr>
              <w:t>大数据技术在产供销中的应用及相关数据服务</w:t>
            </w:r>
            <w:r>
              <w:rPr>
                <w:rFonts w:hint="eastAsia" w:ascii="宋体" w:hAnsi="宋体"/>
                <w:szCs w:val="21"/>
                <w:lang w:val="en-US" w:eastAsia="zh-CN"/>
              </w:rPr>
              <w:t>实习。</w:t>
            </w:r>
          </w:p>
        </w:tc>
      </w:tr>
      <w:tr w14:paraId="5C5D5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40" w:type="pct"/>
            <w:vAlign w:val="center"/>
          </w:tcPr>
          <w:p w14:paraId="7C6D4E26">
            <w:pPr>
              <w:adjustRightInd w:val="0"/>
              <w:snapToGrid w:val="0"/>
              <w:jc w:val="center"/>
              <w:rPr>
                <w:rFonts w:hint="eastAsia" w:ascii="宋体" w:hAnsi="宋体" w:eastAsia="宋体"/>
                <w:szCs w:val="21"/>
                <w:lang w:eastAsia="zh-CN"/>
              </w:rPr>
            </w:pPr>
            <w:r>
              <w:rPr>
                <w:rFonts w:hint="eastAsia" w:ascii="宋体" w:hAnsi="宋体"/>
                <w:szCs w:val="21"/>
                <w:lang w:val="en-US" w:eastAsia="zh-CN"/>
              </w:rPr>
              <w:t>8</w:t>
            </w:r>
          </w:p>
        </w:tc>
        <w:tc>
          <w:tcPr>
            <w:tcW w:w="989" w:type="pct"/>
            <w:vAlign w:val="center"/>
          </w:tcPr>
          <w:p w14:paraId="085C0709">
            <w:pPr>
              <w:adjustRightInd w:val="0"/>
              <w:snapToGrid w:val="0"/>
              <w:jc w:val="center"/>
              <w:rPr>
                <w:rFonts w:hint="eastAsia" w:ascii="宋体" w:hAnsi="宋体"/>
                <w:szCs w:val="21"/>
              </w:rPr>
            </w:pPr>
            <w:r>
              <w:rPr>
                <w:rFonts w:hint="eastAsia" w:ascii="宋体" w:hAnsi="宋体"/>
                <w:szCs w:val="21"/>
              </w:rPr>
              <w:t>云南国美易装装饰工程有限责任公司</w:t>
            </w:r>
          </w:p>
        </w:tc>
        <w:tc>
          <w:tcPr>
            <w:tcW w:w="584" w:type="pct"/>
            <w:vAlign w:val="center"/>
          </w:tcPr>
          <w:p w14:paraId="4D86A83B">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30</w:t>
            </w:r>
          </w:p>
        </w:tc>
        <w:tc>
          <w:tcPr>
            <w:tcW w:w="1277" w:type="pct"/>
            <w:vAlign w:val="center"/>
          </w:tcPr>
          <w:p w14:paraId="41F0AF9B">
            <w:pPr>
              <w:adjustRightInd w:val="0"/>
              <w:snapToGrid w:val="0"/>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岗位实习</w:t>
            </w:r>
            <w:r>
              <w:rPr>
                <w:rFonts w:hint="eastAsia" w:ascii="宋体" w:hAnsi="宋体"/>
                <w:szCs w:val="21"/>
                <w:lang w:eastAsia="zh-CN"/>
              </w:rPr>
              <w:t>》</w:t>
            </w:r>
          </w:p>
        </w:tc>
        <w:tc>
          <w:tcPr>
            <w:tcW w:w="1607" w:type="pct"/>
            <w:vAlign w:val="center"/>
          </w:tcPr>
          <w:p w14:paraId="498DB4C9">
            <w:pPr>
              <w:adjustRightInd w:val="0"/>
              <w:snapToGrid w:val="0"/>
              <w:jc w:val="center"/>
              <w:rPr>
                <w:rFonts w:hint="eastAsia" w:ascii="宋体" w:hAnsi="宋体" w:eastAsia="宋体"/>
                <w:szCs w:val="21"/>
                <w:lang w:eastAsia="zh-CN"/>
              </w:rPr>
            </w:pPr>
            <w:r>
              <w:rPr>
                <w:rFonts w:hint="eastAsia" w:ascii="宋体" w:hAnsi="宋体"/>
                <w:szCs w:val="21"/>
              </w:rPr>
              <w:t>基于企业真实业务、依托企业数智化管理软件相应业务模块流程进行实习</w:t>
            </w:r>
            <w:r>
              <w:rPr>
                <w:rFonts w:hint="eastAsia" w:ascii="宋体" w:hAnsi="宋体"/>
                <w:szCs w:val="21"/>
                <w:lang w:eastAsia="zh-CN"/>
              </w:rPr>
              <w:t>。</w:t>
            </w:r>
          </w:p>
        </w:tc>
      </w:tr>
    </w:tbl>
    <w:p w14:paraId="367F33D3">
      <w:pPr>
        <w:adjustRightInd w:val="0"/>
        <w:snapToGrid w:val="0"/>
        <w:spacing w:line="360" w:lineRule="auto"/>
        <w:jc w:val="center"/>
        <w:rPr>
          <w:rFonts w:hint="eastAsia" w:ascii="宋体" w:hAnsi="宋体" w:cs="Angsana New"/>
          <w:b/>
          <w:sz w:val="24"/>
          <w:szCs w:val="24"/>
          <w:lang w:bidi="th-TH"/>
        </w:rPr>
      </w:pPr>
    </w:p>
    <w:bookmarkEnd w:id="7"/>
    <w:p w14:paraId="551A343F">
      <w:pPr>
        <w:adjustRightInd w:val="0"/>
        <w:snapToGrid w:val="0"/>
        <w:spacing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69532BE0">
      <w:pPr>
        <w:adjustRightInd w:val="0"/>
        <w:snapToGrid w:val="0"/>
        <w:spacing w:line="360" w:lineRule="auto"/>
        <w:ind w:firstLine="480"/>
        <w:rPr>
          <w:rFonts w:hint="eastAsia" w:ascii="宋体" w:hAnsi="宋体" w:cs="Angsana New"/>
          <w:color w:val="FF0000"/>
          <w:sz w:val="24"/>
          <w:szCs w:val="24"/>
          <w:lang w:bidi="th-TH"/>
        </w:rPr>
      </w:pPr>
      <w:r>
        <w:rPr>
          <w:rFonts w:hint="eastAsia" w:asciiTheme="minorEastAsia" w:hAnsiTheme="minorEastAsia" w:eastAsiaTheme="minorEastAsia"/>
          <w:sz w:val="24"/>
          <w:szCs w:val="24"/>
        </w:rPr>
        <w:t>具有利用数字化教学资源库、文献资料、常见问题解答等的信息化条件。引导鼓励教师开发并利用信息化教学资源、教学平台，创新教学方法、提升教学效果。</w:t>
      </w:r>
    </w:p>
    <w:p w14:paraId="36C72C28">
      <w:pPr>
        <w:adjustRightInd w:val="0"/>
        <w:snapToGrid w:val="0"/>
        <w:spacing w:line="360" w:lineRule="auto"/>
        <w:ind w:firstLine="482" w:firstLineChars="200"/>
        <w:jc w:val="left"/>
        <w:outlineLvl w:val="1"/>
        <w:rPr>
          <w:rFonts w:ascii="宋体" w:cs="Angsana New"/>
          <w:b/>
          <w:sz w:val="24"/>
          <w:szCs w:val="24"/>
          <w:lang w:bidi="th-TH"/>
        </w:rPr>
      </w:pPr>
      <w:r>
        <w:rPr>
          <w:rFonts w:hint="eastAsia" w:ascii="宋体" w:hAnsi="宋体" w:cs="Angsana New"/>
          <w:b/>
          <w:sz w:val="24"/>
          <w:szCs w:val="24"/>
          <w:lang w:bidi="th-TH"/>
        </w:rPr>
        <w:t>（三）教学资源</w:t>
      </w:r>
    </w:p>
    <w:p w14:paraId="11F5D712">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本专业教学资源中文本类资源</w:t>
      </w:r>
      <w:r>
        <w:rPr>
          <w:rFonts w:ascii="宋体" w:hAnsi="宋体" w:cs="Angsana New"/>
          <w:sz w:val="24"/>
          <w:szCs w:val="24"/>
          <w:lang w:bidi="th-TH"/>
        </w:rPr>
        <w:t>100</w:t>
      </w:r>
      <w:r>
        <w:rPr>
          <w:rFonts w:hint="eastAsia" w:ascii="宋体" w:hAnsi="宋体" w:cs="Angsana New"/>
          <w:sz w:val="24"/>
          <w:szCs w:val="24"/>
          <w:lang w:bidi="th-TH"/>
        </w:rPr>
        <w:t>个、演示文稿类资源</w:t>
      </w:r>
      <w:r>
        <w:rPr>
          <w:rFonts w:ascii="宋体" w:hAnsi="宋体" w:cs="Angsana New"/>
          <w:sz w:val="24"/>
          <w:szCs w:val="24"/>
          <w:lang w:bidi="th-TH"/>
        </w:rPr>
        <w:t>50</w:t>
      </w:r>
      <w:r>
        <w:rPr>
          <w:rFonts w:hint="eastAsia" w:ascii="宋体" w:hAnsi="宋体" w:cs="Angsana New"/>
          <w:sz w:val="24"/>
          <w:szCs w:val="24"/>
          <w:lang w:bidi="th-TH"/>
        </w:rPr>
        <w:t>个、图形（图像）类资源</w:t>
      </w:r>
      <w:r>
        <w:rPr>
          <w:rFonts w:ascii="宋体" w:hAnsi="宋体" w:cs="Angsana New"/>
          <w:sz w:val="24"/>
          <w:szCs w:val="24"/>
          <w:lang w:bidi="th-TH"/>
        </w:rPr>
        <w:t>50</w:t>
      </w:r>
      <w:r>
        <w:rPr>
          <w:rFonts w:hint="eastAsia" w:ascii="宋体" w:hAnsi="宋体" w:cs="Angsana New"/>
          <w:sz w:val="24"/>
          <w:szCs w:val="24"/>
          <w:lang w:bidi="th-TH"/>
        </w:rPr>
        <w:t>个、音频类资源</w:t>
      </w:r>
      <w:r>
        <w:rPr>
          <w:rFonts w:ascii="宋体" w:hAnsi="宋体" w:cs="Angsana New"/>
          <w:sz w:val="24"/>
          <w:szCs w:val="24"/>
          <w:lang w:bidi="th-TH"/>
        </w:rPr>
        <w:t>31</w:t>
      </w:r>
      <w:r>
        <w:rPr>
          <w:rFonts w:hint="eastAsia" w:ascii="宋体" w:hAnsi="宋体" w:cs="Angsana New"/>
          <w:sz w:val="24"/>
          <w:szCs w:val="24"/>
          <w:lang w:bidi="th-TH"/>
        </w:rPr>
        <w:t>个、视频类资源</w:t>
      </w:r>
      <w:r>
        <w:rPr>
          <w:rFonts w:ascii="宋体" w:hAnsi="宋体" w:cs="Angsana New"/>
          <w:sz w:val="24"/>
          <w:szCs w:val="24"/>
          <w:lang w:bidi="th-TH"/>
        </w:rPr>
        <w:t>10</w:t>
      </w:r>
      <w:r>
        <w:rPr>
          <w:rFonts w:hint="eastAsia" w:ascii="宋体" w:hAnsi="宋体" w:cs="Angsana New"/>
          <w:sz w:val="24"/>
          <w:szCs w:val="24"/>
          <w:lang w:bidi="th-TH"/>
        </w:rPr>
        <w:t>个、动画类资源</w:t>
      </w:r>
      <w:r>
        <w:rPr>
          <w:rFonts w:ascii="宋体" w:hAnsi="宋体" w:cs="Angsana New"/>
          <w:sz w:val="24"/>
          <w:szCs w:val="24"/>
          <w:lang w:bidi="th-TH"/>
        </w:rPr>
        <w:t>10</w:t>
      </w:r>
      <w:r>
        <w:rPr>
          <w:rFonts w:hint="eastAsia" w:ascii="宋体" w:hAnsi="宋体" w:cs="Angsana New"/>
          <w:sz w:val="24"/>
          <w:szCs w:val="24"/>
          <w:lang w:bidi="th-TH"/>
        </w:rPr>
        <w:t>个。</w:t>
      </w:r>
    </w:p>
    <w:p w14:paraId="1F488D88">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1．教材选用基本要求</w:t>
      </w:r>
    </w:p>
    <w:p w14:paraId="3D6A5287">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按照国家规定，执行学院关于教材开发和教材选用的相关管理制度，完善教材选用制度，经过规范程序择优选用教材。教材优先选用高职高专规划教材，突出精讲多练，根据行业的发展变化，及时更新教材，专业课程教材应体现本行业新技术、新规范、新标准、新形态</w:t>
      </w:r>
      <w:r>
        <w:rPr>
          <w:rFonts w:ascii="宋体" w:hAnsi="宋体" w:cs="Angsana New"/>
          <w:sz w:val="24"/>
          <w:szCs w:val="24"/>
          <w:lang w:bidi="th-TH"/>
        </w:rPr>
        <w:t>，</w:t>
      </w:r>
      <w:r>
        <w:rPr>
          <w:rFonts w:hint="eastAsia" w:ascii="宋体" w:hAnsi="宋体" w:cs="Angsana New"/>
          <w:sz w:val="24"/>
          <w:szCs w:val="24"/>
          <w:lang w:bidi="th-TH"/>
        </w:rPr>
        <w:t>以更好地适应教学要求，同时鼓励教师团队根据教学需要进行教学改革，自编教材。本专业教师团队不断吸纳新的现代教育技术，改进传统教学模式，专业课程均已制作教学课件和多媒体视频辅助资料等。</w:t>
      </w:r>
    </w:p>
    <w:p w14:paraId="32ECE0C2">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2．图书文献配备基本要求</w:t>
      </w:r>
    </w:p>
    <w:p w14:paraId="4477328A">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方便师生查询、借阅。专业类图书文献包括：有关财会专业理论、技术、方法、思维以及实务操作类图书。及时配置新经济、新技术、新工艺、新材料、新管理方式、新服务方式等相关的图书文献。</w:t>
      </w:r>
    </w:p>
    <w:p w14:paraId="2BDABD96">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3．数字教学资源配置基本要求</w:t>
      </w:r>
    </w:p>
    <w:p w14:paraId="01A7FB16">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建设、配备与本专业有关的音视频素材、教学课件、数字化教学案例库、虚拟仿真软件、数字教材等专业教学资源库，种类丰富、形式多样、使用便捷、动态更新、满足教学。</w:t>
      </w:r>
    </w:p>
    <w:p w14:paraId="24583B6F">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67ECCCE4">
      <w:pPr>
        <w:adjustRightInd w:val="0"/>
        <w:snapToGrid w:val="0"/>
        <w:jc w:val="center"/>
        <w:rPr>
          <w:rFonts w:hint="eastAsia" w:ascii="宋体" w:hAnsi="宋体"/>
          <w:b/>
          <w:bCs/>
          <w:kern w:val="0"/>
          <w:szCs w:val="21"/>
        </w:rPr>
      </w:pPr>
      <w:r>
        <w:rPr>
          <w:rFonts w:hint="eastAsia" w:ascii="宋体" w:hAnsi="宋体"/>
          <w:b/>
          <w:bCs/>
          <w:kern w:val="0"/>
          <w:szCs w:val="21"/>
        </w:rPr>
        <w:t>表1</w:t>
      </w:r>
      <w:r>
        <w:rPr>
          <w:rFonts w:ascii="宋体" w:hAnsi="宋体"/>
          <w:b/>
          <w:bCs/>
          <w:kern w:val="0"/>
          <w:szCs w:val="21"/>
        </w:rPr>
        <w:t>1</w:t>
      </w:r>
      <w:r>
        <w:rPr>
          <w:rFonts w:hint="eastAsia" w:ascii="宋体" w:hAnsi="宋体"/>
          <w:b/>
          <w:bCs/>
          <w:kern w:val="0"/>
          <w:szCs w:val="21"/>
        </w:rPr>
        <w:t xml:space="preserve"> 合作企业情况表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2051"/>
        <w:gridCol w:w="1284"/>
        <w:gridCol w:w="1795"/>
        <w:gridCol w:w="2817"/>
      </w:tblGrid>
      <w:tr w14:paraId="5D8C8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43" w:type="pct"/>
            <w:vAlign w:val="center"/>
          </w:tcPr>
          <w:p w14:paraId="027D3BAF">
            <w:pPr>
              <w:adjustRightInd w:val="0"/>
              <w:snapToGrid w:val="0"/>
              <w:jc w:val="center"/>
              <w:rPr>
                <w:rFonts w:ascii="宋体"/>
                <w:szCs w:val="21"/>
              </w:rPr>
            </w:pPr>
            <w:r>
              <w:rPr>
                <w:rFonts w:hint="eastAsia" w:ascii="宋体" w:hAnsi="宋体"/>
                <w:szCs w:val="21"/>
              </w:rPr>
              <w:t>序号</w:t>
            </w:r>
          </w:p>
        </w:tc>
        <w:tc>
          <w:tcPr>
            <w:tcW w:w="1176" w:type="pct"/>
            <w:vAlign w:val="center"/>
          </w:tcPr>
          <w:p w14:paraId="19675323">
            <w:pPr>
              <w:adjustRightInd w:val="0"/>
              <w:snapToGrid w:val="0"/>
              <w:jc w:val="center"/>
              <w:rPr>
                <w:rFonts w:ascii="宋体"/>
                <w:szCs w:val="21"/>
              </w:rPr>
            </w:pPr>
            <w:r>
              <w:rPr>
                <w:rFonts w:hint="eastAsia" w:ascii="宋体" w:hAnsi="宋体"/>
                <w:szCs w:val="21"/>
              </w:rPr>
              <w:t>企业名称</w:t>
            </w:r>
          </w:p>
        </w:tc>
        <w:tc>
          <w:tcPr>
            <w:tcW w:w="736" w:type="pct"/>
            <w:vAlign w:val="center"/>
          </w:tcPr>
          <w:p w14:paraId="2BED1FCA">
            <w:pPr>
              <w:adjustRightInd w:val="0"/>
              <w:snapToGrid w:val="0"/>
              <w:jc w:val="center"/>
              <w:rPr>
                <w:rFonts w:ascii="宋体"/>
                <w:szCs w:val="21"/>
              </w:rPr>
            </w:pPr>
            <w:r>
              <w:rPr>
                <w:rFonts w:hint="eastAsia" w:ascii="宋体" w:hAnsi="宋体"/>
                <w:szCs w:val="21"/>
              </w:rPr>
              <w:t>所属行业</w:t>
            </w:r>
          </w:p>
        </w:tc>
        <w:tc>
          <w:tcPr>
            <w:tcW w:w="1029" w:type="pct"/>
            <w:vAlign w:val="center"/>
          </w:tcPr>
          <w:p w14:paraId="42E94A18">
            <w:pPr>
              <w:adjustRightInd w:val="0"/>
              <w:snapToGrid w:val="0"/>
              <w:jc w:val="center"/>
              <w:rPr>
                <w:rFonts w:ascii="宋体"/>
                <w:szCs w:val="21"/>
              </w:rPr>
            </w:pPr>
            <w:r>
              <w:rPr>
                <w:rFonts w:hint="eastAsia" w:ascii="宋体" w:hAnsi="宋体"/>
                <w:szCs w:val="21"/>
              </w:rPr>
              <w:t>接纳实习人数</w:t>
            </w:r>
          </w:p>
        </w:tc>
        <w:tc>
          <w:tcPr>
            <w:tcW w:w="1615" w:type="pct"/>
            <w:vAlign w:val="center"/>
          </w:tcPr>
          <w:p w14:paraId="0ACC6006">
            <w:pPr>
              <w:adjustRightInd w:val="0"/>
              <w:snapToGrid w:val="0"/>
              <w:jc w:val="center"/>
              <w:rPr>
                <w:rFonts w:ascii="宋体"/>
                <w:szCs w:val="21"/>
              </w:rPr>
            </w:pPr>
            <w:r>
              <w:rPr>
                <w:rFonts w:hint="eastAsia" w:ascii="宋体" w:hAnsi="宋体"/>
                <w:szCs w:val="21"/>
              </w:rPr>
              <w:t>实习内容</w:t>
            </w:r>
          </w:p>
        </w:tc>
      </w:tr>
      <w:tr w14:paraId="1B5A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63E394CC">
            <w:pPr>
              <w:adjustRightInd w:val="0"/>
              <w:snapToGrid w:val="0"/>
              <w:jc w:val="center"/>
              <w:rPr>
                <w:rFonts w:hint="eastAsia" w:ascii="宋体" w:eastAsia="宋体"/>
                <w:szCs w:val="21"/>
                <w:lang w:val="en-US" w:eastAsia="zh-CN"/>
              </w:rPr>
            </w:pPr>
            <w:r>
              <w:rPr>
                <w:rFonts w:hint="eastAsia" w:ascii="宋体"/>
                <w:szCs w:val="21"/>
                <w:lang w:val="en-US" w:eastAsia="zh-CN"/>
              </w:rPr>
              <w:t>1</w:t>
            </w:r>
          </w:p>
        </w:tc>
        <w:tc>
          <w:tcPr>
            <w:tcW w:w="1176" w:type="pct"/>
            <w:vAlign w:val="center"/>
          </w:tcPr>
          <w:p w14:paraId="7F405D9D">
            <w:pPr>
              <w:adjustRightInd w:val="0"/>
              <w:snapToGrid w:val="0"/>
              <w:jc w:val="center"/>
              <w:rPr>
                <w:rFonts w:hint="eastAsia" w:ascii="宋体"/>
                <w:szCs w:val="21"/>
              </w:rPr>
            </w:pPr>
            <w:r>
              <w:rPr>
                <w:rFonts w:hint="eastAsia" w:ascii="宋体" w:hAnsi="宋体"/>
                <w:szCs w:val="21"/>
                <w:lang w:val="en-US" w:eastAsia="zh-CN"/>
              </w:rPr>
              <w:t>云南知信会计师事务所</w:t>
            </w:r>
          </w:p>
        </w:tc>
        <w:tc>
          <w:tcPr>
            <w:tcW w:w="736" w:type="pct"/>
            <w:vAlign w:val="center"/>
          </w:tcPr>
          <w:p w14:paraId="429DDFFE">
            <w:pPr>
              <w:adjustRightInd w:val="0"/>
              <w:snapToGrid w:val="0"/>
              <w:jc w:val="center"/>
              <w:rPr>
                <w:rFonts w:hint="eastAsia" w:ascii="宋体" w:eastAsia="宋体"/>
                <w:szCs w:val="21"/>
                <w:lang w:val="en-US" w:eastAsia="zh-CN"/>
              </w:rPr>
            </w:pPr>
            <w:r>
              <w:rPr>
                <w:rFonts w:hint="eastAsia" w:ascii="宋体"/>
                <w:szCs w:val="21"/>
                <w:lang w:val="en-US" w:eastAsia="zh-CN"/>
              </w:rPr>
              <w:t>商务服务业</w:t>
            </w:r>
          </w:p>
        </w:tc>
        <w:tc>
          <w:tcPr>
            <w:tcW w:w="1029" w:type="pct"/>
            <w:vAlign w:val="center"/>
          </w:tcPr>
          <w:p w14:paraId="391D6E1B">
            <w:pPr>
              <w:adjustRightInd w:val="0"/>
              <w:snapToGrid w:val="0"/>
              <w:jc w:val="center"/>
              <w:rPr>
                <w:rFonts w:hint="default" w:ascii="宋体" w:eastAsia="宋体"/>
                <w:szCs w:val="21"/>
                <w:lang w:val="en-US" w:eastAsia="zh-CN"/>
              </w:rPr>
            </w:pPr>
            <w:r>
              <w:rPr>
                <w:rFonts w:hint="eastAsia" w:ascii="宋体"/>
                <w:szCs w:val="21"/>
                <w:lang w:val="en-US" w:eastAsia="zh-CN"/>
              </w:rPr>
              <w:t>30人/年</w:t>
            </w:r>
          </w:p>
        </w:tc>
        <w:tc>
          <w:tcPr>
            <w:tcW w:w="1615" w:type="pct"/>
            <w:vAlign w:val="center"/>
          </w:tcPr>
          <w:p w14:paraId="7317AC9E">
            <w:pPr>
              <w:adjustRightInd w:val="0"/>
              <w:snapToGrid w:val="0"/>
              <w:jc w:val="center"/>
              <w:rPr>
                <w:rFonts w:hint="eastAsia" w:ascii="宋体" w:hAnsi="宋体"/>
                <w:szCs w:val="21"/>
              </w:rPr>
            </w:pPr>
            <w:r>
              <w:rPr>
                <w:rFonts w:hint="eastAsia" w:ascii="宋体" w:hAnsi="宋体"/>
                <w:szCs w:val="21"/>
                <w:lang w:val="en-US" w:eastAsia="zh-CN"/>
              </w:rPr>
              <w:t>业财融合下的账务处理岗位实习。</w:t>
            </w:r>
          </w:p>
        </w:tc>
      </w:tr>
      <w:tr w14:paraId="58F5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7476CD6B">
            <w:pPr>
              <w:adjustRightInd w:val="0"/>
              <w:snapToGrid w:val="0"/>
              <w:jc w:val="center"/>
              <w:rPr>
                <w:rFonts w:hint="eastAsia" w:ascii="宋体" w:eastAsia="宋体"/>
                <w:szCs w:val="21"/>
                <w:lang w:eastAsia="zh-CN"/>
              </w:rPr>
            </w:pPr>
            <w:r>
              <w:rPr>
                <w:rFonts w:hint="eastAsia" w:ascii="宋体"/>
                <w:szCs w:val="21"/>
                <w:lang w:val="en-US" w:eastAsia="zh-CN"/>
              </w:rPr>
              <w:t>2</w:t>
            </w:r>
          </w:p>
        </w:tc>
        <w:tc>
          <w:tcPr>
            <w:tcW w:w="1176" w:type="pct"/>
            <w:vAlign w:val="center"/>
          </w:tcPr>
          <w:p w14:paraId="0CB3896B">
            <w:pPr>
              <w:adjustRightInd w:val="0"/>
              <w:snapToGrid w:val="0"/>
              <w:jc w:val="center"/>
              <w:rPr>
                <w:rFonts w:ascii="宋体"/>
                <w:szCs w:val="21"/>
              </w:rPr>
            </w:pPr>
            <w:r>
              <w:rPr>
                <w:rFonts w:hint="eastAsia" w:ascii="宋体"/>
                <w:szCs w:val="21"/>
              </w:rPr>
              <w:t>爱尔信集团有限公司</w:t>
            </w:r>
          </w:p>
        </w:tc>
        <w:tc>
          <w:tcPr>
            <w:tcW w:w="736" w:type="pct"/>
            <w:vAlign w:val="center"/>
          </w:tcPr>
          <w:p w14:paraId="5EAB97F9">
            <w:pPr>
              <w:adjustRightInd w:val="0"/>
              <w:snapToGrid w:val="0"/>
              <w:jc w:val="center"/>
              <w:rPr>
                <w:rFonts w:ascii="宋体"/>
                <w:szCs w:val="21"/>
              </w:rPr>
            </w:pPr>
            <w:r>
              <w:rPr>
                <w:rFonts w:ascii="宋体"/>
                <w:szCs w:val="21"/>
              </w:rPr>
              <w:t>商务服务业</w:t>
            </w:r>
          </w:p>
        </w:tc>
        <w:tc>
          <w:tcPr>
            <w:tcW w:w="1029" w:type="pct"/>
            <w:vAlign w:val="center"/>
          </w:tcPr>
          <w:p w14:paraId="77F21DF2">
            <w:pPr>
              <w:adjustRightInd w:val="0"/>
              <w:snapToGrid w:val="0"/>
              <w:jc w:val="center"/>
              <w:rPr>
                <w:rFonts w:ascii="宋体"/>
                <w:szCs w:val="21"/>
              </w:rPr>
            </w:pPr>
            <w:r>
              <w:rPr>
                <w:rFonts w:hint="eastAsia" w:ascii="宋体"/>
                <w:szCs w:val="21"/>
              </w:rPr>
              <w:t>30人/年</w:t>
            </w:r>
          </w:p>
        </w:tc>
        <w:tc>
          <w:tcPr>
            <w:tcW w:w="1615" w:type="pct"/>
            <w:vAlign w:val="center"/>
          </w:tcPr>
          <w:p w14:paraId="1E73BBBC">
            <w:pPr>
              <w:adjustRightInd w:val="0"/>
              <w:snapToGrid w:val="0"/>
              <w:jc w:val="center"/>
              <w:rPr>
                <w:rFonts w:ascii="宋体"/>
                <w:szCs w:val="21"/>
              </w:rPr>
            </w:pPr>
            <w:r>
              <w:rPr>
                <w:rFonts w:hint="eastAsia" w:ascii="宋体" w:hAnsi="宋体"/>
                <w:szCs w:val="21"/>
              </w:rPr>
              <w:t>业务数据对接、数据标准化处理、参与部分业财一体化方案设计、财税核算。</w:t>
            </w:r>
          </w:p>
        </w:tc>
      </w:tr>
      <w:tr w14:paraId="6AE89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6CC4A8AA">
            <w:pPr>
              <w:adjustRightInd w:val="0"/>
              <w:snapToGrid w:val="0"/>
              <w:jc w:val="center"/>
              <w:rPr>
                <w:rFonts w:hint="eastAsia" w:ascii="宋体" w:eastAsia="宋体"/>
                <w:szCs w:val="21"/>
                <w:lang w:eastAsia="zh-CN"/>
              </w:rPr>
            </w:pPr>
            <w:r>
              <w:rPr>
                <w:rFonts w:hint="eastAsia" w:ascii="宋体"/>
                <w:szCs w:val="21"/>
                <w:lang w:val="en-US" w:eastAsia="zh-CN"/>
              </w:rPr>
              <w:t>3</w:t>
            </w:r>
          </w:p>
        </w:tc>
        <w:tc>
          <w:tcPr>
            <w:tcW w:w="1176" w:type="pct"/>
            <w:vAlign w:val="center"/>
          </w:tcPr>
          <w:p w14:paraId="4F876809">
            <w:pPr>
              <w:adjustRightInd w:val="0"/>
              <w:snapToGrid w:val="0"/>
              <w:jc w:val="center"/>
              <w:rPr>
                <w:rFonts w:hint="eastAsia" w:ascii="宋体" w:hAnsi="宋体"/>
                <w:szCs w:val="21"/>
              </w:rPr>
            </w:pPr>
            <w:r>
              <w:rPr>
                <w:rFonts w:hint="eastAsia" w:ascii="宋体" w:hAnsi="宋体"/>
                <w:szCs w:val="21"/>
              </w:rPr>
              <w:t>恒诺薇电子集团</w:t>
            </w:r>
          </w:p>
        </w:tc>
        <w:tc>
          <w:tcPr>
            <w:tcW w:w="736" w:type="pct"/>
            <w:vAlign w:val="center"/>
          </w:tcPr>
          <w:p w14:paraId="18AEF8DD">
            <w:pPr>
              <w:adjustRightInd w:val="0"/>
              <w:snapToGrid w:val="0"/>
              <w:jc w:val="center"/>
              <w:rPr>
                <w:rFonts w:ascii="宋体"/>
                <w:szCs w:val="21"/>
              </w:rPr>
            </w:pPr>
            <w:r>
              <w:rPr>
                <w:rFonts w:ascii="宋体"/>
                <w:szCs w:val="21"/>
              </w:rPr>
              <w:t>商务服务业</w:t>
            </w:r>
          </w:p>
        </w:tc>
        <w:tc>
          <w:tcPr>
            <w:tcW w:w="1029" w:type="pct"/>
            <w:vAlign w:val="center"/>
          </w:tcPr>
          <w:p w14:paraId="0B8DF6BA">
            <w:pPr>
              <w:adjustRightInd w:val="0"/>
              <w:snapToGrid w:val="0"/>
              <w:jc w:val="center"/>
              <w:rPr>
                <w:rFonts w:ascii="宋体"/>
                <w:szCs w:val="21"/>
              </w:rPr>
            </w:pPr>
            <w:r>
              <w:rPr>
                <w:rFonts w:hint="eastAsia" w:ascii="宋体"/>
                <w:szCs w:val="21"/>
              </w:rPr>
              <w:t>10人/年</w:t>
            </w:r>
          </w:p>
        </w:tc>
        <w:tc>
          <w:tcPr>
            <w:tcW w:w="2817" w:type="dxa"/>
            <w:vAlign w:val="center"/>
          </w:tcPr>
          <w:p w14:paraId="603EF923">
            <w:pPr>
              <w:adjustRightInd w:val="0"/>
              <w:snapToGrid w:val="0"/>
              <w:jc w:val="center"/>
              <w:rPr>
                <w:rFonts w:hint="eastAsia" w:ascii="宋体" w:eastAsia="宋体"/>
                <w:szCs w:val="21"/>
                <w:lang w:eastAsia="zh-CN"/>
              </w:rPr>
            </w:pPr>
            <w:r>
              <w:rPr>
                <w:rFonts w:hint="eastAsia" w:ascii="宋体" w:hAnsi="宋体"/>
                <w:szCs w:val="21"/>
              </w:rPr>
              <w:t>基于企业真实业务、依托企业数智化管理软件相应业务模块流程进行实习</w:t>
            </w:r>
            <w:r>
              <w:rPr>
                <w:rFonts w:hint="eastAsia" w:ascii="宋体" w:hAnsi="宋体"/>
                <w:szCs w:val="21"/>
                <w:lang w:eastAsia="zh-CN"/>
              </w:rPr>
              <w:t>。</w:t>
            </w:r>
          </w:p>
        </w:tc>
      </w:tr>
      <w:tr w14:paraId="5206C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78DE577C">
            <w:pPr>
              <w:adjustRightInd w:val="0"/>
              <w:snapToGrid w:val="0"/>
              <w:jc w:val="center"/>
              <w:rPr>
                <w:rFonts w:hint="eastAsia" w:ascii="宋体" w:eastAsia="宋体"/>
                <w:szCs w:val="21"/>
                <w:lang w:eastAsia="zh-CN"/>
              </w:rPr>
            </w:pPr>
            <w:r>
              <w:rPr>
                <w:rFonts w:hint="eastAsia" w:ascii="宋体"/>
                <w:szCs w:val="21"/>
                <w:lang w:val="en-US" w:eastAsia="zh-CN"/>
              </w:rPr>
              <w:t>4</w:t>
            </w:r>
          </w:p>
        </w:tc>
        <w:tc>
          <w:tcPr>
            <w:tcW w:w="1176" w:type="pct"/>
            <w:vAlign w:val="center"/>
          </w:tcPr>
          <w:p w14:paraId="04CF26D0">
            <w:pPr>
              <w:adjustRightInd w:val="0"/>
              <w:snapToGrid w:val="0"/>
              <w:jc w:val="center"/>
              <w:rPr>
                <w:rFonts w:hint="eastAsia" w:ascii="宋体" w:hAnsi="宋体"/>
                <w:szCs w:val="21"/>
              </w:rPr>
            </w:pPr>
            <w:r>
              <w:rPr>
                <w:rFonts w:hint="eastAsia" w:ascii="宋体" w:hAnsi="宋体"/>
                <w:szCs w:val="21"/>
              </w:rPr>
              <w:t>万乘集团</w:t>
            </w:r>
          </w:p>
        </w:tc>
        <w:tc>
          <w:tcPr>
            <w:tcW w:w="736" w:type="pct"/>
            <w:vAlign w:val="center"/>
          </w:tcPr>
          <w:p w14:paraId="1A10A94B">
            <w:pPr>
              <w:adjustRightInd w:val="0"/>
              <w:snapToGrid w:val="0"/>
              <w:jc w:val="center"/>
              <w:rPr>
                <w:rFonts w:hint="eastAsia" w:ascii="宋体" w:hAnsi="宋体"/>
                <w:szCs w:val="21"/>
              </w:rPr>
            </w:pPr>
            <w:r>
              <w:rPr>
                <w:rFonts w:ascii="宋体" w:hAnsi="宋体"/>
                <w:szCs w:val="21"/>
              </w:rPr>
              <w:t>商务服务业</w:t>
            </w:r>
          </w:p>
        </w:tc>
        <w:tc>
          <w:tcPr>
            <w:tcW w:w="1029" w:type="pct"/>
            <w:vAlign w:val="center"/>
          </w:tcPr>
          <w:p w14:paraId="0C3B70C6">
            <w:pPr>
              <w:adjustRightInd w:val="0"/>
              <w:snapToGrid w:val="0"/>
              <w:jc w:val="center"/>
              <w:rPr>
                <w:rFonts w:hint="eastAsia" w:ascii="宋体" w:hAnsi="宋体"/>
                <w:szCs w:val="21"/>
              </w:rPr>
            </w:pPr>
            <w:r>
              <w:rPr>
                <w:rFonts w:hint="eastAsia" w:ascii="宋体" w:hAnsi="宋体"/>
                <w:szCs w:val="21"/>
              </w:rPr>
              <w:t>10人/年</w:t>
            </w:r>
          </w:p>
        </w:tc>
        <w:tc>
          <w:tcPr>
            <w:tcW w:w="2817" w:type="dxa"/>
            <w:vAlign w:val="center"/>
          </w:tcPr>
          <w:p w14:paraId="5F621D31">
            <w:pPr>
              <w:adjustRightInd w:val="0"/>
              <w:snapToGrid w:val="0"/>
              <w:jc w:val="center"/>
              <w:rPr>
                <w:rFonts w:hint="eastAsia" w:ascii="宋体" w:hAnsi="宋体"/>
                <w:szCs w:val="21"/>
              </w:rPr>
            </w:pPr>
            <w:r>
              <w:rPr>
                <w:rFonts w:hint="eastAsia" w:ascii="宋体" w:hAnsi="宋体"/>
                <w:szCs w:val="21"/>
                <w:lang w:val="en-US" w:eastAsia="zh-CN"/>
              </w:rPr>
              <w:t>基于万乘集团真实业务，进行投融资相关业务的实习。</w:t>
            </w:r>
          </w:p>
        </w:tc>
      </w:tr>
      <w:tr w14:paraId="3F00D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68668969">
            <w:pPr>
              <w:adjustRightInd w:val="0"/>
              <w:snapToGrid w:val="0"/>
              <w:jc w:val="center"/>
              <w:rPr>
                <w:rFonts w:hint="eastAsia" w:ascii="宋体" w:eastAsia="宋体"/>
                <w:szCs w:val="21"/>
                <w:lang w:eastAsia="zh-CN"/>
              </w:rPr>
            </w:pPr>
            <w:r>
              <w:rPr>
                <w:rFonts w:hint="eastAsia" w:ascii="宋体"/>
                <w:szCs w:val="21"/>
                <w:lang w:val="en-US" w:eastAsia="zh-CN"/>
              </w:rPr>
              <w:t>5</w:t>
            </w:r>
          </w:p>
        </w:tc>
        <w:tc>
          <w:tcPr>
            <w:tcW w:w="1176" w:type="pct"/>
            <w:vAlign w:val="center"/>
          </w:tcPr>
          <w:p w14:paraId="40B26DF1">
            <w:pPr>
              <w:adjustRightInd w:val="0"/>
              <w:snapToGrid w:val="0"/>
              <w:jc w:val="center"/>
              <w:rPr>
                <w:rFonts w:hint="eastAsia" w:ascii="宋体" w:hAnsi="宋体"/>
                <w:szCs w:val="21"/>
              </w:rPr>
            </w:pPr>
            <w:r>
              <w:rPr>
                <w:rFonts w:hint="eastAsia" w:ascii="宋体" w:hAnsi="宋体"/>
                <w:szCs w:val="21"/>
              </w:rPr>
              <w:t>索菲特国际酒店</w:t>
            </w:r>
          </w:p>
        </w:tc>
        <w:tc>
          <w:tcPr>
            <w:tcW w:w="736" w:type="pct"/>
            <w:vAlign w:val="center"/>
          </w:tcPr>
          <w:p w14:paraId="18308681">
            <w:pPr>
              <w:adjustRightInd w:val="0"/>
              <w:snapToGrid w:val="0"/>
              <w:jc w:val="center"/>
              <w:rPr>
                <w:rFonts w:hint="eastAsia" w:ascii="宋体" w:hAnsi="宋体"/>
                <w:szCs w:val="21"/>
              </w:rPr>
            </w:pPr>
            <w:r>
              <w:rPr>
                <w:rFonts w:ascii="宋体" w:hAnsi="宋体"/>
                <w:szCs w:val="21"/>
              </w:rPr>
              <w:t>酒店业</w:t>
            </w:r>
          </w:p>
        </w:tc>
        <w:tc>
          <w:tcPr>
            <w:tcW w:w="1029" w:type="pct"/>
            <w:vAlign w:val="center"/>
          </w:tcPr>
          <w:p w14:paraId="18A4AF13">
            <w:pPr>
              <w:adjustRightInd w:val="0"/>
              <w:snapToGrid w:val="0"/>
              <w:jc w:val="center"/>
              <w:rPr>
                <w:rFonts w:hint="eastAsia" w:ascii="宋体" w:hAnsi="宋体"/>
                <w:szCs w:val="21"/>
              </w:rPr>
            </w:pPr>
            <w:r>
              <w:rPr>
                <w:rFonts w:hint="eastAsia" w:ascii="宋体" w:hAnsi="宋体"/>
                <w:szCs w:val="21"/>
              </w:rPr>
              <w:t>10人/年</w:t>
            </w:r>
          </w:p>
        </w:tc>
        <w:tc>
          <w:tcPr>
            <w:tcW w:w="2817" w:type="dxa"/>
            <w:vAlign w:val="center"/>
          </w:tcPr>
          <w:p w14:paraId="00DD25D3">
            <w:pPr>
              <w:adjustRightInd w:val="0"/>
              <w:snapToGrid w:val="0"/>
              <w:jc w:val="center"/>
              <w:rPr>
                <w:rFonts w:hint="eastAsia" w:ascii="宋体" w:hAnsi="宋体"/>
                <w:szCs w:val="21"/>
              </w:rPr>
            </w:pPr>
            <w:r>
              <w:rPr>
                <w:rFonts w:hint="eastAsia" w:ascii="宋体" w:hAnsi="宋体"/>
                <w:szCs w:val="21"/>
              </w:rPr>
              <w:t>基于索菲特国际酒店真实业务、依托企业数智化管理软件相应业务模块流程及相应数据分析进行实习</w:t>
            </w:r>
            <w:r>
              <w:rPr>
                <w:rFonts w:hint="eastAsia" w:ascii="宋体" w:hAnsi="宋体"/>
                <w:szCs w:val="21"/>
                <w:lang w:eastAsia="zh-CN"/>
              </w:rPr>
              <w:t>。</w:t>
            </w:r>
          </w:p>
        </w:tc>
      </w:tr>
      <w:tr w14:paraId="0FA7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1DA35FA2">
            <w:pPr>
              <w:adjustRightInd w:val="0"/>
              <w:snapToGrid w:val="0"/>
              <w:jc w:val="center"/>
              <w:rPr>
                <w:rFonts w:hint="eastAsia" w:ascii="宋体" w:eastAsia="宋体"/>
                <w:szCs w:val="21"/>
                <w:lang w:eastAsia="zh-CN"/>
              </w:rPr>
            </w:pPr>
            <w:r>
              <w:rPr>
                <w:rFonts w:hint="eastAsia" w:ascii="宋体"/>
                <w:szCs w:val="21"/>
                <w:lang w:val="en-US" w:eastAsia="zh-CN"/>
              </w:rPr>
              <w:t>6</w:t>
            </w:r>
          </w:p>
        </w:tc>
        <w:tc>
          <w:tcPr>
            <w:tcW w:w="1176" w:type="pct"/>
            <w:vAlign w:val="center"/>
          </w:tcPr>
          <w:p w14:paraId="1F989D66">
            <w:pPr>
              <w:adjustRightInd w:val="0"/>
              <w:snapToGrid w:val="0"/>
              <w:jc w:val="center"/>
              <w:rPr>
                <w:rFonts w:hint="eastAsia" w:ascii="宋体" w:hAnsi="宋体"/>
                <w:szCs w:val="21"/>
              </w:rPr>
            </w:pPr>
            <w:r>
              <w:rPr>
                <w:rFonts w:hint="eastAsia" w:ascii="宋体" w:hAnsi="宋体"/>
                <w:szCs w:val="21"/>
              </w:rPr>
              <w:t>面包工坊</w:t>
            </w:r>
          </w:p>
        </w:tc>
        <w:tc>
          <w:tcPr>
            <w:tcW w:w="736" w:type="pct"/>
            <w:vAlign w:val="center"/>
          </w:tcPr>
          <w:p w14:paraId="3CDB19D6">
            <w:pPr>
              <w:adjustRightInd w:val="0"/>
              <w:snapToGrid w:val="0"/>
              <w:jc w:val="center"/>
              <w:rPr>
                <w:rFonts w:hint="eastAsia" w:ascii="宋体" w:hAnsi="宋体"/>
                <w:szCs w:val="21"/>
              </w:rPr>
            </w:pPr>
            <w:r>
              <w:rPr>
                <w:rFonts w:ascii="宋体" w:hAnsi="宋体"/>
                <w:szCs w:val="21"/>
              </w:rPr>
              <w:t>商务服务业</w:t>
            </w:r>
          </w:p>
        </w:tc>
        <w:tc>
          <w:tcPr>
            <w:tcW w:w="1029" w:type="pct"/>
            <w:vAlign w:val="center"/>
          </w:tcPr>
          <w:p w14:paraId="3C7B0108">
            <w:pPr>
              <w:adjustRightInd w:val="0"/>
              <w:snapToGrid w:val="0"/>
              <w:jc w:val="center"/>
              <w:rPr>
                <w:rFonts w:hint="eastAsia" w:ascii="宋体" w:hAnsi="宋体"/>
                <w:szCs w:val="21"/>
              </w:rPr>
            </w:pPr>
            <w:r>
              <w:rPr>
                <w:rFonts w:hint="eastAsia" w:ascii="宋体" w:hAnsi="宋体"/>
                <w:szCs w:val="21"/>
              </w:rPr>
              <w:t>10人/年</w:t>
            </w:r>
          </w:p>
        </w:tc>
        <w:tc>
          <w:tcPr>
            <w:tcW w:w="1615" w:type="pct"/>
            <w:vAlign w:val="center"/>
          </w:tcPr>
          <w:p w14:paraId="55E36506">
            <w:pPr>
              <w:adjustRightInd w:val="0"/>
              <w:snapToGrid w:val="0"/>
              <w:jc w:val="center"/>
              <w:rPr>
                <w:rFonts w:hint="eastAsia" w:ascii="宋体" w:hAnsi="宋体"/>
                <w:szCs w:val="21"/>
              </w:rPr>
            </w:pPr>
            <w:r>
              <w:rPr>
                <w:rFonts w:hint="eastAsia" w:ascii="宋体" w:hAnsi="宋体"/>
                <w:szCs w:val="21"/>
              </w:rPr>
              <w:t>基于企业真实业务、依托企业数智化管理软件相应业务模块流程进行实习（主要集中在财务核算）。</w:t>
            </w:r>
          </w:p>
        </w:tc>
      </w:tr>
      <w:tr w14:paraId="10DE3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443" w:type="pct"/>
            <w:vAlign w:val="center"/>
          </w:tcPr>
          <w:p w14:paraId="27A187BB">
            <w:pPr>
              <w:adjustRightInd w:val="0"/>
              <w:snapToGrid w:val="0"/>
              <w:jc w:val="center"/>
              <w:rPr>
                <w:rFonts w:hint="eastAsia" w:ascii="宋体" w:eastAsia="宋体"/>
                <w:szCs w:val="21"/>
                <w:lang w:eastAsia="zh-CN"/>
              </w:rPr>
            </w:pPr>
            <w:r>
              <w:rPr>
                <w:rFonts w:hint="eastAsia" w:ascii="宋体"/>
                <w:szCs w:val="21"/>
                <w:lang w:val="en-US" w:eastAsia="zh-CN"/>
              </w:rPr>
              <w:t>7</w:t>
            </w:r>
          </w:p>
        </w:tc>
        <w:tc>
          <w:tcPr>
            <w:tcW w:w="1176" w:type="pct"/>
            <w:vAlign w:val="center"/>
          </w:tcPr>
          <w:p w14:paraId="7AE0C78E">
            <w:pPr>
              <w:adjustRightInd w:val="0"/>
              <w:snapToGrid w:val="0"/>
              <w:jc w:val="center"/>
              <w:rPr>
                <w:rFonts w:hint="eastAsia" w:ascii="宋体" w:hAnsi="宋体"/>
                <w:szCs w:val="21"/>
              </w:rPr>
            </w:pPr>
            <w:r>
              <w:rPr>
                <w:rFonts w:hint="eastAsia" w:ascii="宋体" w:hAnsi="宋体"/>
                <w:szCs w:val="21"/>
              </w:rPr>
              <w:t>浙江隆聚餐饮集团</w:t>
            </w:r>
          </w:p>
        </w:tc>
        <w:tc>
          <w:tcPr>
            <w:tcW w:w="736" w:type="pct"/>
            <w:vAlign w:val="center"/>
          </w:tcPr>
          <w:p w14:paraId="1C547C63">
            <w:pPr>
              <w:adjustRightInd w:val="0"/>
              <w:snapToGrid w:val="0"/>
              <w:jc w:val="center"/>
              <w:rPr>
                <w:rFonts w:hint="eastAsia" w:ascii="宋体" w:hAnsi="宋体"/>
                <w:szCs w:val="21"/>
              </w:rPr>
            </w:pPr>
            <w:r>
              <w:rPr>
                <w:rFonts w:ascii="宋体" w:hAnsi="宋体"/>
                <w:szCs w:val="21"/>
              </w:rPr>
              <w:t>餐饮业</w:t>
            </w:r>
          </w:p>
        </w:tc>
        <w:tc>
          <w:tcPr>
            <w:tcW w:w="1029" w:type="pct"/>
            <w:vAlign w:val="center"/>
          </w:tcPr>
          <w:p w14:paraId="7034A7B8">
            <w:pPr>
              <w:adjustRightInd w:val="0"/>
              <w:snapToGrid w:val="0"/>
              <w:jc w:val="center"/>
              <w:rPr>
                <w:rFonts w:hint="eastAsia" w:ascii="宋体" w:hAnsi="宋体"/>
                <w:szCs w:val="21"/>
              </w:rPr>
            </w:pPr>
            <w:r>
              <w:rPr>
                <w:rFonts w:hint="eastAsia" w:ascii="宋体" w:hAnsi="宋体"/>
                <w:szCs w:val="21"/>
              </w:rPr>
              <w:t>10人/年</w:t>
            </w:r>
          </w:p>
        </w:tc>
        <w:tc>
          <w:tcPr>
            <w:tcW w:w="1615" w:type="pct"/>
            <w:vAlign w:val="center"/>
          </w:tcPr>
          <w:p w14:paraId="2F13422B">
            <w:pPr>
              <w:adjustRightInd w:val="0"/>
              <w:snapToGrid w:val="0"/>
              <w:jc w:val="center"/>
              <w:rPr>
                <w:rFonts w:hint="eastAsia" w:ascii="宋体" w:hAnsi="宋体" w:eastAsia="宋体"/>
                <w:szCs w:val="21"/>
                <w:lang w:eastAsia="zh-CN"/>
              </w:rPr>
            </w:pPr>
            <w:r>
              <w:rPr>
                <w:rFonts w:hint="eastAsia" w:ascii="宋体" w:hAnsi="宋体"/>
                <w:szCs w:val="21"/>
              </w:rPr>
              <w:t>大数据技术在产供销中的应用及相关数据服务</w:t>
            </w:r>
            <w:r>
              <w:rPr>
                <w:rFonts w:hint="eastAsia" w:ascii="宋体" w:hAnsi="宋体"/>
                <w:szCs w:val="21"/>
                <w:lang w:eastAsia="zh-CN"/>
              </w:rPr>
              <w:t>。</w:t>
            </w:r>
          </w:p>
        </w:tc>
      </w:tr>
      <w:tr w14:paraId="1DBFA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43" w:type="pct"/>
            <w:vAlign w:val="center"/>
          </w:tcPr>
          <w:p w14:paraId="38D9A006">
            <w:pPr>
              <w:adjustRightInd w:val="0"/>
              <w:snapToGrid w:val="0"/>
              <w:jc w:val="center"/>
              <w:rPr>
                <w:rFonts w:hint="eastAsia" w:ascii="宋体" w:eastAsia="宋体"/>
                <w:szCs w:val="21"/>
                <w:lang w:eastAsia="zh-CN"/>
              </w:rPr>
            </w:pPr>
            <w:r>
              <w:rPr>
                <w:rFonts w:hint="eastAsia" w:ascii="宋体"/>
                <w:szCs w:val="21"/>
                <w:lang w:val="en-US" w:eastAsia="zh-CN"/>
              </w:rPr>
              <w:t>8</w:t>
            </w:r>
          </w:p>
        </w:tc>
        <w:tc>
          <w:tcPr>
            <w:tcW w:w="1176" w:type="pct"/>
            <w:vAlign w:val="center"/>
          </w:tcPr>
          <w:p w14:paraId="0FDCE0C5">
            <w:pPr>
              <w:adjustRightInd w:val="0"/>
              <w:snapToGrid w:val="0"/>
              <w:jc w:val="center"/>
              <w:rPr>
                <w:rFonts w:hint="eastAsia" w:ascii="宋体" w:hAnsi="宋体"/>
                <w:szCs w:val="21"/>
              </w:rPr>
            </w:pPr>
            <w:r>
              <w:rPr>
                <w:rFonts w:hint="eastAsia" w:ascii="宋体" w:hAnsi="宋体"/>
                <w:szCs w:val="21"/>
              </w:rPr>
              <w:t>云南国美易装装饰工程有限责任公司</w:t>
            </w:r>
          </w:p>
        </w:tc>
        <w:tc>
          <w:tcPr>
            <w:tcW w:w="736" w:type="pct"/>
            <w:vAlign w:val="center"/>
          </w:tcPr>
          <w:p w14:paraId="27A7B032">
            <w:pPr>
              <w:adjustRightInd w:val="0"/>
              <w:snapToGrid w:val="0"/>
              <w:jc w:val="center"/>
              <w:rPr>
                <w:rFonts w:hint="eastAsia" w:ascii="宋体" w:hAnsi="宋体"/>
                <w:szCs w:val="21"/>
              </w:rPr>
            </w:pPr>
            <w:r>
              <w:rPr>
                <w:rFonts w:ascii="宋体" w:hAnsi="宋体"/>
                <w:szCs w:val="21"/>
              </w:rPr>
              <w:t>商务服务业</w:t>
            </w:r>
          </w:p>
        </w:tc>
        <w:tc>
          <w:tcPr>
            <w:tcW w:w="1029" w:type="pct"/>
            <w:vAlign w:val="center"/>
          </w:tcPr>
          <w:p w14:paraId="671F44B4">
            <w:pPr>
              <w:adjustRightInd w:val="0"/>
              <w:snapToGrid w:val="0"/>
              <w:jc w:val="center"/>
              <w:rPr>
                <w:rFonts w:hint="eastAsia" w:ascii="宋体" w:hAnsi="宋体"/>
                <w:szCs w:val="21"/>
              </w:rPr>
            </w:pPr>
            <w:r>
              <w:rPr>
                <w:rFonts w:hint="eastAsia" w:ascii="宋体" w:hAnsi="宋体"/>
                <w:szCs w:val="21"/>
              </w:rPr>
              <w:t>20人/年</w:t>
            </w:r>
          </w:p>
        </w:tc>
        <w:tc>
          <w:tcPr>
            <w:tcW w:w="1615" w:type="pct"/>
            <w:vAlign w:val="center"/>
          </w:tcPr>
          <w:p w14:paraId="359BA5BA">
            <w:pPr>
              <w:adjustRightInd w:val="0"/>
              <w:snapToGrid w:val="0"/>
              <w:jc w:val="center"/>
              <w:rPr>
                <w:rFonts w:hint="eastAsia" w:ascii="宋体" w:hAnsi="宋体"/>
                <w:szCs w:val="21"/>
              </w:rPr>
            </w:pPr>
            <w:r>
              <w:rPr>
                <w:rFonts w:hint="eastAsia" w:ascii="宋体" w:hAnsi="宋体"/>
                <w:szCs w:val="21"/>
              </w:rPr>
              <w:t>推动数据标准落地；</w:t>
            </w:r>
          </w:p>
          <w:p w14:paraId="2F319F79">
            <w:pPr>
              <w:adjustRightInd w:val="0"/>
              <w:snapToGrid w:val="0"/>
              <w:jc w:val="center"/>
              <w:rPr>
                <w:rFonts w:hint="eastAsia" w:ascii="宋体" w:hAnsi="宋体"/>
                <w:szCs w:val="21"/>
              </w:rPr>
            </w:pPr>
            <w:r>
              <w:rPr>
                <w:rFonts w:hint="eastAsia" w:ascii="宋体" w:hAnsi="宋体"/>
                <w:szCs w:val="21"/>
              </w:rPr>
              <w:t>基于企业真实业务、依托企业数智化管理软件相应业务模块流程进行实习，基于沉淀的业财大数据进行分析，为业务决策提供支撑。</w:t>
            </w:r>
          </w:p>
        </w:tc>
      </w:tr>
    </w:tbl>
    <w:p w14:paraId="0FA93DEC">
      <w:pPr>
        <w:adjustRightInd w:val="0"/>
        <w:snapToGrid w:val="0"/>
        <w:spacing w:line="360" w:lineRule="auto"/>
        <w:ind w:firstLine="480" w:firstLineChars="200"/>
        <w:rPr>
          <w:rFonts w:hint="eastAsia" w:ascii="宋体" w:hAnsi="宋体" w:cs="Angsana New"/>
          <w:sz w:val="24"/>
          <w:szCs w:val="24"/>
          <w:lang w:bidi="th-TH"/>
        </w:rPr>
      </w:pPr>
    </w:p>
    <w:p w14:paraId="0E4CDA0D">
      <w:pPr>
        <w:adjustRightInd w:val="0"/>
        <w:snapToGrid w:val="0"/>
        <w:spacing w:line="360" w:lineRule="auto"/>
        <w:ind w:firstLine="560" w:firstLineChars="20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3555D98C">
      <w:pPr>
        <w:adjustRightInd w:val="0"/>
        <w:snapToGrid w:val="0"/>
        <w:spacing w:line="360" w:lineRule="auto"/>
        <w:ind w:firstLine="482" w:firstLineChars="200"/>
        <w:jc w:val="left"/>
        <w:outlineLvl w:val="1"/>
        <w:rPr>
          <w:rFonts w:ascii="宋体" w:cs="Angsana New"/>
          <w:b/>
          <w:sz w:val="24"/>
          <w:szCs w:val="24"/>
          <w:lang w:bidi="th-TH"/>
        </w:rPr>
      </w:pPr>
      <w:r>
        <w:rPr>
          <w:rFonts w:hint="eastAsia" w:ascii="宋体" w:hAnsi="宋体" w:cs="Angsana New"/>
          <w:b/>
          <w:sz w:val="24"/>
          <w:szCs w:val="24"/>
          <w:lang w:bidi="th-TH"/>
        </w:rPr>
        <w:t>（一）教学组织形式</w:t>
      </w:r>
    </w:p>
    <w:p w14:paraId="3987ABDF">
      <w:pPr>
        <w:adjustRightInd w:val="0"/>
        <w:snapToGrid w:val="0"/>
        <w:spacing w:line="360" w:lineRule="auto"/>
        <w:ind w:firstLine="480" w:firstLineChars="200"/>
        <w:jc w:val="left"/>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24D965F3">
      <w:pPr>
        <w:adjustRightInd w:val="0"/>
        <w:snapToGrid w:val="0"/>
        <w:spacing w:line="360" w:lineRule="auto"/>
        <w:ind w:firstLine="480" w:firstLineChars="200"/>
        <w:jc w:val="left"/>
        <w:rPr>
          <w:rFonts w:ascii="宋体" w:cs="Angsana New"/>
          <w:sz w:val="24"/>
          <w:szCs w:val="24"/>
          <w:lang w:bidi="th-TH"/>
        </w:rPr>
      </w:pPr>
      <w:r>
        <w:rPr>
          <w:rFonts w:ascii="宋体" w:cs="Angsana New"/>
          <w:sz w:val="24"/>
          <w:szCs w:val="24"/>
          <w:lang w:bidi="th-TH"/>
        </w:rPr>
        <w:t>（</w:t>
      </w:r>
      <w:r>
        <w:rPr>
          <w:rFonts w:hint="eastAsia" w:ascii="宋体" w:cs="Angsana New"/>
          <w:sz w:val="24"/>
          <w:szCs w:val="24"/>
          <w:lang w:bidi="th-TH"/>
        </w:rPr>
        <w:t>1</w:t>
      </w:r>
      <w:r>
        <w:rPr>
          <w:rFonts w:ascii="宋体" w:cs="Angsana New"/>
          <w:sz w:val="24"/>
          <w:szCs w:val="24"/>
          <w:lang w:bidi="th-TH"/>
        </w:rPr>
        <w:t>）教学任务下达</w:t>
      </w:r>
    </w:p>
    <w:p w14:paraId="4328F03F">
      <w:pPr>
        <w:adjustRightInd w:val="0"/>
        <w:snapToGrid w:val="0"/>
        <w:spacing w:line="360" w:lineRule="auto"/>
        <w:ind w:firstLine="480" w:firstLineChars="200"/>
        <w:jc w:val="left"/>
        <w:rPr>
          <w:rFonts w:ascii="宋体" w:cs="Angsana New"/>
          <w:sz w:val="24"/>
          <w:szCs w:val="24"/>
          <w:lang w:bidi="th-TH"/>
        </w:rPr>
      </w:pPr>
      <w:r>
        <w:rPr>
          <w:rFonts w:ascii="宋体" w:cs="Angsana New"/>
          <w:sz w:val="24"/>
          <w:szCs w:val="24"/>
        </w:rPr>
        <w:drawing>
          <wp:inline distT="0" distB="0" distL="0" distR="0">
            <wp:extent cx="5400040" cy="1027430"/>
            <wp:effectExtent l="19050" t="0" r="0" b="0"/>
            <wp:docPr id="5" name="图片 3" descr="D:\文档\WeChat Files\wangyizhi5134\FileStorage\Temp\16859527626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D:\文档\WeChat Files\wangyizhi5134\FileStorage\Temp\1685952762693.png"/>
                    <pic:cNvPicPr>
                      <a:picLocks noChangeAspect="1" noChangeArrowheads="1"/>
                    </pic:cNvPicPr>
                  </pic:nvPicPr>
                  <pic:blipFill>
                    <a:blip r:embed="rId11" cstate="print"/>
                    <a:srcRect/>
                    <a:stretch>
                      <a:fillRect/>
                    </a:stretch>
                  </pic:blipFill>
                  <pic:spPr>
                    <a:xfrm>
                      <a:off x="0" y="0"/>
                      <a:ext cx="5400040" cy="1027826"/>
                    </a:xfrm>
                    <a:prstGeom prst="rect">
                      <a:avLst/>
                    </a:prstGeom>
                    <a:noFill/>
                    <a:ln w="9525">
                      <a:noFill/>
                      <a:miter lim="800000"/>
                      <a:headEnd/>
                      <a:tailEnd/>
                    </a:ln>
                  </pic:spPr>
                </pic:pic>
              </a:graphicData>
            </a:graphic>
          </wp:inline>
        </w:drawing>
      </w:r>
    </w:p>
    <w:p w14:paraId="149579FB">
      <w:pPr>
        <w:adjustRightInd w:val="0"/>
        <w:snapToGrid w:val="0"/>
        <w:spacing w:line="360" w:lineRule="auto"/>
        <w:ind w:firstLine="480" w:firstLineChars="200"/>
        <w:jc w:val="left"/>
        <w:rPr>
          <w:rFonts w:ascii="宋体" w:cs="Angsana New"/>
          <w:sz w:val="24"/>
          <w:szCs w:val="24"/>
          <w:lang w:bidi="th-TH"/>
        </w:rPr>
      </w:pPr>
      <w:r>
        <w:rPr>
          <w:rFonts w:ascii="宋体" w:cs="Angsana New"/>
          <w:sz w:val="24"/>
          <w:szCs w:val="24"/>
          <w:lang w:bidi="th-TH"/>
        </w:rPr>
        <w:t>（</w:t>
      </w:r>
      <w:r>
        <w:rPr>
          <w:rFonts w:hint="eastAsia" w:ascii="宋体" w:cs="Angsana New"/>
          <w:sz w:val="24"/>
          <w:szCs w:val="24"/>
          <w:lang w:bidi="th-TH"/>
        </w:rPr>
        <w:t>2</w:t>
      </w:r>
      <w:r>
        <w:rPr>
          <w:rFonts w:ascii="宋体" w:cs="Angsana New"/>
          <w:sz w:val="24"/>
          <w:szCs w:val="24"/>
          <w:lang w:bidi="th-TH"/>
        </w:rPr>
        <w:t>）授课计划的制定与开课准备</w:t>
      </w:r>
    </w:p>
    <w:p w14:paraId="45754489">
      <w:pPr>
        <w:adjustRightInd w:val="0"/>
        <w:snapToGrid w:val="0"/>
        <w:spacing w:line="360" w:lineRule="auto"/>
        <w:ind w:firstLine="480" w:firstLineChars="200"/>
        <w:jc w:val="left"/>
        <w:rPr>
          <w:rFonts w:ascii="宋体" w:cs="Angsana New"/>
          <w:sz w:val="24"/>
          <w:szCs w:val="24"/>
          <w:lang w:bidi="th-TH"/>
        </w:rPr>
      </w:pPr>
      <w:r>
        <w:rPr>
          <w:rFonts w:ascii="宋体" w:cs="Angsana New"/>
          <w:sz w:val="24"/>
          <w:szCs w:val="24"/>
        </w:rPr>
        <w:drawing>
          <wp:inline distT="0" distB="0" distL="0" distR="0">
            <wp:extent cx="5400040" cy="1174750"/>
            <wp:effectExtent l="19050" t="0" r="0" b="0"/>
            <wp:docPr id="6" name="图片 4" descr="D:\文档\WeChat Files\wangyizhi5134\FileStorage\Temp\16859528087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D:\文档\WeChat Files\wangyizhi5134\FileStorage\Temp\1685952808764.png"/>
                    <pic:cNvPicPr>
                      <a:picLocks noChangeAspect="1" noChangeArrowheads="1"/>
                    </pic:cNvPicPr>
                  </pic:nvPicPr>
                  <pic:blipFill>
                    <a:blip r:embed="rId12" cstate="print"/>
                    <a:srcRect/>
                    <a:stretch>
                      <a:fillRect/>
                    </a:stretch>
                  </pic:blipFill>
                  <pic:spPr>
                    <a:xfrm>
                      <a:off x="0" y="0"/>
                      <a:ext cx="5400040" cy="1175367"/>
                    </a:xfrm>
                    <a:prstGeom prst="rect">
                      <a:avLst/>
                    </a:prstGeom>
                    <a:noFill/>
                    <a:ln w="9525">
                      <a:noFill/>
                      <a:miter lim="800000"/>
                      <a:headEnd/>
                      <a:tailEnd/>
                    </a:ln>
                  </pic:spPr>
                </pic:pic>
              </a:graphicData>
            </a:graphic>
          </wp:inline>
        </w:drawing>
      </w:r>
    </w:p>
    <w:p w14:paraId="3ED31802">
      <w:pPr>
        <w:adjustRightInd w:val="0"/>
        <w:snapToGrid w:val="0"/>
        <w:spacing w:line="360" w:lineRule="auto"/>
        <w:ind w:firstLine="480" w:firstLineChars="200"/>
        <w:jc w:val="left"/>
        <w:rPr>
          <w:rFonts w:ascii="宋体" w:cs="Angsana New"/>
          <w:sz w:val="24"/>
          <w:szCs w:val="24"/>
          <w:lang w:bidi="th-TH"/>
        </w:rPr>
      </w:pPr>
      <w:r>
        <w:rPr>
          <w:rFonts w:hint="eastAsia" w:ascii="宋体" w:cs="Angsana New"/>
          <w:sz w:val="24"/>
          <w:szCs w:val="24"/>
          <w:lang w:bidi="th-TH"/>
        </w:rPr>
        <w:t>（3）开学的教学质量控制及流程</w:t>
      </w:r>
    </w:p>
    <w:p w14:paraId="434CCF35">
      <w:pPr>
        <w:adjustRightInd w:val="0"/>
        <w:snapToGrid w:val="0"/>
        <w:spacing w:line="360" w:lineRule="auto"/>
        <w:ind w:firstLine="480" w:firstLineChars="200"/>
        <w:jc w:val="left"/>
        <w:rPr>
          <w:rFonts w:ascii="宋体" w:cs="Angsana New"/>
          <w:sz w:val="24"/>
          <w:szCs w:val="24"/>
          <w:lang w:bidi="th-TH"/>
        </w:rPr>
      </w:pPr>
      <w:r>
        <w:rPr>
          <w:rFonts w:ascii="宋体" w:cs="Angsana New"/>
          <w:sz w:val="24"/>
          <w:szCs w:val="24"/>
        </w:rPr>
        <w:drawing>
          <wp:inline distT="0" distB="0" distL="0" distR="0">
            <wp:extent cx="5400040" cy="2672080"/>
            <wp:effectExtent l="19050" t="0" r="0" b="0"/>
            <wp:docPr id="7" name="图片 5" descr="D:\文档\WeChat Files\wangyizhi5134\FileStorage\Temp\1685952865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D:\文档\WeChat Files\wangyizhi5134\FileStorage\Temp\1685952865512.png"/>
                    <pic:cNvPicPr>
                      <a:picLocks noChangeAspect="1" noChangeArrowheads="1"/>
                    </pic:cNvPicPr>
                  </pic:nvPicPr>
                  <pic:blipFill>
                    <a:blip r:embed="rId13" cstate="print"/>
                    <a:srcRect/>
                    <a:stretch>
                      <a:fillRect/>
                    </a:stretch>
                  </pic:blipFill>
                  <pic:spPr>
                    <a:xfrm>
                      <a:off x="0" y="0"/>
                      <a:ext cx="5400040" cy="2672112"/>
                    </a:xfrm>
                    <a:prstGeom prst="rect">
                      <a:avLst/>
                    </a:prstGeom>
                    <a:noFill/>
                    <a:ln w="9525">
                      <a:noFill/>
                      <a:miter lim="800000"/>
                      <a:headEnd/>
                      <a:tailEnd/>
                    </a:ln>
                  </pic:spPr>
                </pic:pic>
              </a:graphicData>
            </a:graphic>
          </wp:inline>
        </w:drawing>
      </w:r>
    </w:p>
    <w:p w14:paraId="74B5ECDB">
      <w:pPr>
        <w:adjustRightInd w:val="0"/>
        <w:snapToGrid w:val="0"/>
        <w:spacing w:line="360" w:lineRule="auto"/>
        <w:ind w:firstLine="480" w:firstLineChars="200"/>
        <w:jc w:val="left"/>
        <w:rPr>
          <w:rFonts w:ascii="宋体" w:cs="Angsana New"/>
          <w:sz w:val="24"/>
          <w:szCs w:val="24"/>
          <w:lang w:bidi="th-TH"/>
        </w:rPr>
      </w:pPr>
    </w:p>
    <w:p w14:paraId="024C8E24">
      <w:pPr>
        <w:adjustRightInd w:val="0"/>
        <w:snapToGrid w:val="0"/>
        <w:spacing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4DF5A2DD">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提出实施教学应该采取的方法指导建议，指导教师依据专业培养目标、课程教学要求、学生能力与教学资源，采用适当的教学方法，如讲授法、讨论法、直观演示法、练习法、任务驱动法、参观教学法、自主学习法等，以达成预期教学目标。倡导因材施教、因需施教，鼓励创新教学方法和策略，采用理实一体化教学、案例教学、项目教学等方法，坚持学中做、做中学。</w:t>
      </w:r>
    </w:p>
    <w:p w14:paraId="6375E36F">
      <w:pPr>
        <w:adjustRightInd w:val="0"/>
        <w:snapToGrid w:val="0"/>
        <w:spacing w:line="360" w:lineRule="auto"/>
        <w:ind w:firstLine="482" w:firstLineChars="200"/>
        <w:jc w:val="left"/>
        <w:outlineLvl w:val="1"/>
        <w:rPr>
          <w:rFonts w:ascii="宋体" w:cs="Angsana New"/>
          <w:b/>
          <w:sz w:val="24"/>
          <w:szCs w:val="24"/>
          <w:lang w:bidi="th-TH"/>
        </w:rPr>
      </w:pPr>
      <w:r>
        <w:rPr>
          <w:rFonts w:hint="eastAsia" w:ascii="宋体" w:hAnsi="宋体" w:cs="Angsana New"/>
          <w:b/>
          <w:sz w:val="24"/>
          <w:szCs w:val="24"/>
          <w:lang w:bidi="th-TH"/>
        </w:rPr>
        <w:t>（二）教学考核评价</w:t>
      </w:r>
    </w:p>
    <w:p w14:paraId="3CA3006D">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54542D0A">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通过多元化的评价形式、制定有针对性的评价内容以及完善评价标准强调平时成绩，并与期末考试有机结合，分时段、分内容形成综合成绩，同时还要注重阶段性的总结与反思。改变传统试卷内容和考核形式，改革和推行专业技能类课程考试评价制度，课程评定方式扩充为“平时成绩记录”“期末成绩综合考试测试记录”两个方面。平时成绩记录包括课堂学习出勤、课堂参与、学习态度、专题研究、小组研究性学习、网上讨论等。注重过程性评价和多元主体评价，注重考查学生运用所学知识理论解决实际问题能力。在过程性评价与结果性评价所占的比例应根据课程性质而定，偏理论的课程可以采用4：6的比例；实践性强的课程，可以采用6：4的比例。这种考评方式既考查了学生的知识掌握程度，也考查了学生的知识运用能力，引导学生培养分析问题、解决问题的能力，将理论学习与实际运用有机结合起来；不但关注学习结果，更关注学员学习的过程，达到了全面考核学员学业状况之目的。</w:t>
      </w:r>
    </w:p>
    <w:p w14:paraId="3C50B180">
      <w:pPr>
        <w:adjustRightInd w:val="0"/>
        <w:snapToGrid w:val="0"/>
        <w:spacing w:line="360" w:lineRule="auto"/>
        <w:ind w:firstLine="482" w:firstLineChars="200"/>
        <w:jc w:val="left"/>
        <w:outlineLvl w:val="1"/>
        <w:rPr>
          <w:rFonts w:hint="eastAsia" w:ascii="宋体" w:hAnsi="宋体" w:cs="Angsana New"/>
          <w:b/>
          <w:sz w:val="24"/>
          <w:szCs w:val="24"/>
          <w:lang w:bidi="th-TH"/>
        </w:rPr>
      </w:pPr>
      <w:r>
        <w:rPr>
          <w:rFonts w:hint="eastAsia" w:ascii="宋体" w:hAnsi="宋体" w:cs="Angsana New"/>
          <w:b/>
          <w:sz w:val="24"/>
          <w:szCs w:val="24"/>
          <w:lang w:bidi="th-TH"/>
        </w:rPr>
        <w:t>（三）教学管理</w:t>
      </w:r>
    </w:p>
    <w:p w14:paraId="7EB63F4E">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30A7A24D">
      <w:pPr>
        <w:adjustRightInd w:val="0"/>
        <w:snapToGrid w:val="0"/>
        <w:spacing w:line="360" w:lineRule="auto"/>
        <w:ind w:firstLine="480" w:firstLineChars="200"/>
        <w:jc w:val="left"/>
        <w:rPr>
          <w:rFonts w:ascii="宋体" w:cs="Angsana New"/>
          <w:sz w:val="24"/>
          <w:szCs w:val="24"/>
          <w:lang w:bidi="th-TH"/>
        </w:rPr>
      </w:pPr>
    </w:p>
    <w:p w14:paraId="2A0A2D54">
      <w:pPr>
        <w:adjustRightInd w:val="0"/>
        <w:snapToGrid w:val="0"/>
        <w:spacing w:line="360" w:lineRule="auto"/>
        <w:ind w:firstLine="560" w:firstLineChars="200"/>
        <w:outlineLvl w:val="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6379C2AF">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12EA53D">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0586040F">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01566056">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69BA6F26">
      <w:pPr>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考核方式举例：过程考核、终结性考核</w:t>
      </w:r>
    </w:p>
    <w:p w14:paraId="3046EF94">
      <w:pPr>
        <w:adjustRightInd w:val="0"/>
        <w:snapToGrid w:val="0"/>
        <w:spacing w:line="360" w:lineRule="auto"/>
        <w:ind w:firstLine="482"/>
        <w:rPr>
          <w:rFonts w:hint="eastAsia" w:ascii="宋体" w:hAnsi="宋体"/>
          <w:sz w:val="24"/>
          <w:szCs w:val="24"/>
        </w:rPr>
      </w:pPr>
      <w:r>
        <w:rPr>
          <w:rFonts w:hint="eastAsia" w:ascii="宋体" w:hAnsi="宋体"/>
          <w:sz w:val="24"/>
          <w:szCs w:val="24"/>
        </w:rPr>
        <w:t>建立质量保障机构，学生每学期评教不少于2次、同行每学期评教不少于2次、督导每学期评教不少于5次、企业每学期评教不少于1次。</w:t>
      </w:r>
    </w:p>
    <w:p w14:paraId="2C61DFDA">
      <w:pPr>
        <w:adjustRightInd w:val="0"/>
        <w:snapToGrid w:val="0"/>
        <w:spacing w:line="360" w:lineRule="auto"/>
        <w:ind w:firstLine="560" w:firstLineChars="200"/>
        <w:outlineLvl w:val="0"/>
        <w:rPr>
          <w:rFonts w:hint="eastAsia"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41D574EE">
      <w:pPr>
        <w:adjustRightInd w:val="0"/>
        <w:snapToGrid w:val="0"/>
        <w:spacing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34F393EC">
      <w:pPr>
        <w:adjustRightInd w:val="0"/>
        <w:snapToGrid w:val="0"/>
        <w:spacing w:line="360" w:lineRule="auto"/>
        <w:ind w:firstLine="482" w:firstLineChars="200"/>
        <w:outlineLvl w:val="0"/>
        <w:rPr>
          <w:rFonts w:ascii="宋体" w:cs="Angsana New"/>
          <w:b/>
          <w:sz w:val="24"/>
          <w:szCs w:val="24"/>
          <w:lang w:bidi="th-TH"/>
        </w:rPr>
      </w:pPr>
    </w:p>
    <w:p w14:paraId="7F7E86D1"/>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瀹嬩綋">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FD7A">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separate"/>
    </w:r>
    <w:r>
      <w:rPr>
        <w:rStyle w:val="18"/>
      </w:rPr>
      <w:t>2</w:t>
    </w:r>
    <w:r>
      <w:rPr>
        <w:rStyle w:val="18"/>
      </w:rPr>
      <w:fldChar w:fldCharType="end"/>
    </w:r>
  </w:p>
  <w:p w14:paraId="27F9FA87">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2624F">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1D622AD9">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A1DB0">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21A9"/>
    <w:rsid w:val="00013C14"/>
    <w:rsid w:val="000227B9"/>
    <w:rsid w:val="0002744F"/>
    <w:rsid w:val="00027854"/>
    <w:rsid w:val="00027E1C"/>
    <w:rsid w:val="00031140"/>
    <w:rsid w:val="00042F87"/>
    <w:rsid w:val="00045249"/>
    <w:rsid w:val="00054C43"/>
    <w:rsid w:val="000702F3"/>
    <w:rsid w:val="0007194E"/>
    <w:rsid w:val="000754C0"/>
    <w:rsid w:val="00077CA2"/>
    <w:rsid w:val="00092736"/>
    <w:rsid w:val="00095426"/>
    <w:rsid w:val="000A0230"/>
    <w:rsid w:val="000A08E3"/>
    <w:rsid w:val="000B66A6"/>
    <w:rsid w:val="000C1FE4"/>
    <w:rsid w:val="000E3166"/>
    <w:rsid w:val="000E54C6"/>
    <w:rsid w:val="000F010F"/>
    <w:rsid w:val="000F31AB"/>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D546E"/>
    <w:rsid w:val="002F070C"/>
    <w:rsid w:val="002F0AB1"/>
    <w:rsid w:val="002F5DC1"/>
    <w:rsid w:val="002F7D36"/>
    <w:rsid w:val="00306FC8"/>
    <w:rsid w:val="003071C0"/>
    <w:rsid w:val="00316571"/>
    <w:rsid w:val="00317C69"/>
    <w:rsid w:val="00343FFE"/>
    <w:rsid w:val="00350796"/>
    <w:rsid w:val="0035781A"/>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B7A37"/>
    <w:rsid w:val="004C33F6"/>
    <w:rsid w:val="004E245F"/>
    <w:rsid w:val="004F2701"/>
    <w:rsid w:val="004F4B41"/>
    <w:rsid w:val="00503CAF"/>
    <w:rsid w:val="00505CC6"/>
    <w:rsid w:val="00520ED7"/>
    <w:rsid w:val="00521ED7"/>
    <w:rsid w:val="00522C96"/>
    <w:rsid w:val="00532C38"/>
    <w:rsid w:val="005337C3"/>
    <w:rsid w:val="005373F7"/>
    <w:rsid w:val="00550F12"/>
    <w:rsid w:val="005623AA"/>
    <w:rsid w:val="00564419"/>
    <w:rsid w:val="00572DD3"/>
    <w:rsid w:val="00580BB1"/>
    <w:rsid w:val="00585BC8"/>
    <w:rsid w:val="0059576B"/>
    <w:rsid w:val="005A6CDA"/>
    <w:rsid w:val="005B7DCA"/>
    <w:rsid w:val="005C1134"/>
    <w:rsid w:val="005C46CD"/>
    <w:rsid w:val="005D0B68"/>
    <w:rsid w:val="005D1FFF"/>
    <w:rsid w:val="005D4A40"/>
    <w:rsid w:val="005E6F04"/>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48B9"/>
    <w:rsid w:val="008E6FDD"/>
    <w:rsid w:val="008F0439"/>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4288E"/>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2593"/>
    <w:rsid w:val="00D934FF"/>
    <w:rsid w:val="00D96815"/>
    <w:rsid w:val="00DA17B4"/>
    <w:rsid w:val="00DA3D5E"/>
    <w:rsid w:val="00DA55B1"/>
    <w:rsid w:val="00DB161E"/>
    <w:rsid w:val="00DB3C0A"/>
    <w:rsid w:val="00DB63A8"/>
    <w:rsid w:val="00DC36FF"/>
    <w:rsid w:val="00DF46C5"/>
    <w:rsid w:val="00E1259B"/>
    <w:rsid w:val="00E1519D"/>
    <w:rsid w:val="00E157DA"/>
    <w:rsid w:val="00E244B6"/>
    <w:rsid w:val="00E24792"/>
    <w:rsid w:val="00E25F04"/>
    <w:rsid w:val="00E40ED6"/>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B246C"/>
    <w:rsid w:val="00FB450C"/>
    <w:rsid w:val="00FC521A"/>
    <w:rsid w:val="00FC5C2D"/>
    <w:rsid w:val="00FD1A35"/>
    <w:rsid w:val="05013676"/>
    <w:rsid w:val="075B2249"/>
    <w:rsid w:val="079F6DB4"/>
    <w:rsid w:val="0D161D8D"/>
    <w:rsid w:val="0EB22A5F"/>
    <w:rsid w:val="103B1CC9"/>
    <w:rsid w:val="10993435"/>
    <w:rsid w:val="10D92F4B"/>
    <w:rsid w:val="19731EA6"/>
    <w:rsid w:val="1D9A0AED"/>
    <w:rsid w:val="221B616E"/>
    <w:rsid w:val="2A0E67EA"/>
    <w:rsid w:val="2DE20BB6"/>
    <w:rsid w:val="324F294F"/>
    <w:rsid w:val="3D7A1CD1"/>
    <w:rsid w:val="3F1E4207"/>
    <w:rsid w:val="3F693E6B"/>
    <w:rsid w:val="43A57402"/>
    <w:rsid w:val="4747513C"/>
    <w:rsid w:val="48605CC9"/>
    <w:rsid w:val="4DE06AD7"/>
    <w:rsid w:val="66A0494F"/>
    <w:rsid w:val="6D0C4188"/>
    <w:rsid w:val="6DC53018"/>
    <w:rsid w:val="71CA3763"/>
    <w:rsid w:val="74103107"/>
    <w:rsid w:val="76396799"/>
    <w:rsid w:val="76C13C3E"/>
    <w:rsid w:val="7B1878E2"/>
    <w:rsid w:val="7BDB1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3"/>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4"/>
    <w:unhideWhenUsed/>
    <w:qFormat/>
    <w:uiPriority w:val="9"/>
    <w:pPr>
      <w:keepNext/>
      <w:keepLines/>
      <w:spacing w:before="260" w:after="260" w:line="413"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5">
    <w:name w:val="caption"/>
    <w:basedOn w:val="1"/>
    <w:next w:val="1"/>
    <w:semiHidden/>
    <w:unhideWhenUsed/>
    <w:qFormat/>
    <w:uiPriority w:val="35"/>
    <w:pPr>
      <w:widowControl/>
      <w:jc w:val="left"/>
    </w:pPr>
    <w:rPr>
      <w:rFonts w:asciiTheme="minorHAnsi" w:hAnsiTheme="minorHAnsi" w:eastAsiaTheme="minorEastAsia" w:cstheme="minorBidi"/>
      <w:b/>
      <w:bCs/>
      <w:color w:val="4F81BD" w:themeColor="accent1"/>
      <w:kern w:val="0"/>
      <w:sz w:val="18"/>
      <w:szCs w:val="18"/>
      <w:lang w:eastAsia="en-US"/>
      <w14:textFill>
        <w14:solidFill>
          <w14:schemeClr w14:val="accent1"/>
        </w14:solidFill>
      </w14:textFill>
    </w:rPr>
  </w:style>
  <w:style w:type="paragraph" w:styleId="6">
    <w:name w:val="toa heading"/>
    <w:basedOn w:val="1"/>
    <w:next w:val="1"/>
    <w:qFormat/>
    <w:uiPriority w:val="0"/>
    <w:pPr>
      <w:spacing w:before="120"/>
    </w:pPr>
    <w:rPr>
      <w:rFonts w:ascii="Arial" w:hAnsi="Arial"/>
      <w:sz w:val="24"/>
    </w:rPr>
  </w:style>
  <w:style w:type="paragraph" w:styleId="7">
    <w:name w:val="annotation text"/>
    <w:basedOn w:val="1"/>
    <w:link w:val="30"/>
    <w:unhideWhenUsed/>
    <w:qFormat/>
    <w:uiPriority w:val="99"/>
    <w:pPr>
      <w:jc w:val="left"/>
    </w:pPr>
  </w:style>
  <w:style w:type="paragraph" w:styleId="8">
    <w:name w:val="Body Text"/>
    <w:basedOn w:val="1"/>
    <w:link w:val="29"/>
    <w:qFormat/>
    <w:uiPriority w:val="1"/>
    <w:pPr>
      <w:autoSpaceDE w:val="0"/>
      <w:autoSpaceDN w:val="0"/>
      <w:jc w:val="left"/>
    </w:pPr>
    <w:rPr>
      <w:rFonts w:ascii="宋体" w:hAnsi="宋体" w:cs="宋体"/>
      <w:kern w:val="0"/>
      <w:szCs w:val="21"/>
      <w:lang w:val="zh-CN" w:bidi="zh-CN"/>
    </w:rPr>
  </w:style>
  <w:style w:type="paragraph" w:styleId="9">
    <w:name w:val="Balloon Text"/>
    <w:basedOn w:val="1"/>
    <w:link w:val="26"/>
    <w:semiHidden/>
    <w:unhideWhenUsed/>
    <w:qFormat/>
    <w:uiPriority w:val="99"/>
    <w:rPr>
      <w:sz w:val="18"/>
      <w:szCs w:val="18"/>
    </w:rPr>
  </w:style>
  <w:style w:type="paragraph" w:styleId="10">
    <w:name w:val="footer"/>
    <w:basedOn w:val="1"/>
    <w:link w:val="20"/>
    <w:qFormat/>
    <w:uiPriority w:val="99"/>
    <w:pPr>
      <w:tabs>
        <w:tab w:val="center" w:pos="4153"/>
        <w:tab w:val="right" w:pos="8306"/>
      </w:tabs>
      <w:snapToGrid w:val="0"/>
      <w:jc w:val="left"/>
    </w:pPr>
    <w:rPr>
      <w:rFonts w:ascii="Times New Roman" w:hAnsi="Times New Roman"/>
      <w:sz w:val="18"/>
      <w:szCs w:val="18"/>
    </w:rPr>
  </w:style>
  <w:style w:type="paragraph" w:styleId="11">
    <w:name w:val="header"/>
    <w:basedOn w:val="1"/>
    <w:link w:val="2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2">
    <w:name w:val="Normal (Web)"/>
    <w:basedOn w:val="1"/>
    <w:qFormat/>
    <w:uiPriority w:val="0"/>
    <w:pPr>
      <w:spacing w:beforeAutospacing="1" w:afterAutospacing="1"/>
      <w:jc w:val="left"/>
    </w:pPr>
    <w:rPr>
      <w:rFonts w:asciiTheme="minorHAnsi" w:hAnsiTheme="minorHAnsi" w:eastAsiaTheme="minorEastAsia"/>
      <w:kern w:val="0"/>
      <w:sz w:val="24"/>
      <w:szCs w:val="24"/>
    </w:rPr>
  </w:style>
  <w:style w:type="paragraph" w:styleId="13">
    <w:name w:val="annotation subject"/>
    <w:basedOn w:val="7"/>
    <w:next w:val="7"/>
    <w:link w:val="31"/>
    <w:semiHidden/>
    <w:unhideWhenUsed/>
    <w:qFormat/>
    <w:uiPriority w:val="99"/>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character" w:styleId="18">
    <w:name w:val="page number"/>
    <w:basedOn w:val="16"/>
    <w:qFormat/>
    <w:uiPriority w:val="99"/>
    <w:rPr>
      <w:rFonts w:cs="Times New Roman"/>
    </w:rPr>
  </w:style>
  <w:style w:type="character" w:styleId="19">
    <w:name w:val="annotation reference"/>
    <w:basedOn w:val="16"/>
    <w:semiHidden/>
    <w:unhideWhenUsed/>
    <w:qFormat/>
    <w:uiPriority w:val="99"/>
    <w:rPr>
      <w:sz w:val="21"/>
      <w:szCs w:val="21"/>
    </w:rPr>
  </w:style>
  <w:style w:type="character" w:customStyle="1" w:styleId="20">
    <w:name w:val="页脚 字符"/>
    <w:basedOn w:val="16"/>
    <w:link w:val="10"/>
    <w:qFormat/>
    <w:uiPriority w:val="99"/>
    <w:rPr>
      <w:rFonts w:ascii="Times New Roman" w:hAnsi="Times New Roman" w:eastAsia="宋体" w:cs="Times New Roman"/>
      <w:sz w:val="18"/>
      <w:szCs w:val="18"/>
    </w:rPr>
  </w:style>
  <w:style w:type="character" w:customStyle="1" w:styleId="21">
    <w:name w:val="页眉 字符"/>
    <w:basedOn w:val="16"/>
    <w:link w:val="11"/>
    <w:qFormat/>
    <w:uiPriority w:val="99"/>
    <w:rPr>
      <w:rFonts w:ascii="Times New Roman" w:hAnsi="Times New Roman" w:eastAsia="宋体" w:cs="Times New Roman"/>
      <w:sz w:val="18"/>
      <w:szCs w:val="18"/>
    </w:rPr>
  </w:style>
  <w:style w:type="paragraph" w:customStyle="1" w:styleId="22">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3">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4">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5">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6">
    <w:name w:val="批注框文本 字符"/>
    <w:basedOn w:val="16"/>
    <w:link w:val="9"/>
    <w:semiHidden/>
    <w:qFormat/>
    <w:uiPriority w:val="99"/>
    <w:rPr>
      <w:rFonts w:ascii="Calibri" w:hAnsi="Calibri" w:eastAsia="宋体" w:cs="Times New Roman"/>
      <w:sz w:val="18"/>
      <w:szCs w:val="18"/>
    </w:rPr>
  </w:style>
  <w:style w:type="paragraph" w:customStyle="1" w:styleId="27">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8">
    <w:name w:val="List Paragraph"/>
    <w:basedOn w:val="1"/>
    <w:qFormat/>
    <w:uiPriority w:val="34"/>
    <w:pPr>
      <w:ind w:firstLine="420" w:firstLineChars="200"/>
    </w:pPr>
  </w:style>
  <w:style w:type="character" w:customStyle="1" w:styleId="29">
    <w:name w:val="正文文本 字符"/>
    <w:basedOn w:val="16"/>
    <w:link w:val="8"/>
    <w:qFormat/>
    <w:uiPriority w:val="1"/>
    <w:rPr>
      <w:rFonts w:ascii="宋体" w:hAnsi="宋体" w:eastAsia="宋体" w:cs="宋体"/>
      <w:kern w:val="0"/>
      <w:szCs w:val="21"/>
      <w:lang w:val="zh-CN" w:bidi="zh-CN"/>
    </w:rPr>
  </w:style>
  <w:style w:type="character" w:customStyle="1" w:styleId="30">
    <w:name w:val="批注文字 字符"/>
    <w:basedOn w:val="16"/>
    <w:link w:val="7"/>
    <w:qFormat/>
    <w:uiPriority w:val="99"/>
    <w:rPr>
      <w:rFonts w:ascii="Calibri" w:hAnsi="Calibri" w:eastAsia="宋体" w:cs="Times New Roman"/>
    </w:rPr>
  </w:style>
  <w:style w:type="character" w:customStyle="1" w:styleId="31">
    <w:name w:val="批注主题 字符"/>
    <w:basedOn w:val="30"/>
    <w:link w:val="13"/>
    <w:semiHidden/>
    <w:qFormat/>
    <w:uiPriority w:val="99"/>
    <w:rPr>
      <w:rFonts w:ascii="Calibri" w:hAnsi="Calibri" w:eastAsia="宋体" w:cs="Times New Roman"/>
      <w:b/>
      <w:bCs/>
    </w:rPr>
  </w:style>
  <w:style w:type="paragraph" w:customStyle="1" w:styleId="32">
    <w:name w:val="Revision1"/>
    <w:hidden/>
    <w:semiHidden/>
    <w:qFormat/>
    <w:uiPriority w:val="99"/>
    <w:rPr>
      <w:rFonts w:ascii="Calibri" w:hAnsi="Calibri" w:eastAsia="宋体" w:cs="Times New Roman"/>
      <w:kern w:val="2"/>
      <w:sz w:val="21"/>
      <w:szCs w:val="22"/>
      <w:lang w:val="en-US" w:eastAsia="zh-CN" w:bidi="ar-SA"/>
    </w:rPr>
  </w:style>
  <w:style w:type="character" w:customStyle="1" w:styleId="33">
    <w:name w:val="标题 1 字符"/>
    <w:basedOn w:val="16"/>
    <w:link w:val="2"/>
    <w:qFormat/>
    <w:uiPriority w:val="9"/>
    <w:rPr>
      <w:rFonts w:ascii="宋体" w:hAnsi="宋体" w:cs="宋体"/>
      <w:b/>
      <w:bCs/>
      <w:kern w:val="36"/>
      <w:sz w:val="48"/>
      <w:szCs w:val="48"/>
      <w:lang w:val="en-US"/>
    </w:rPr>
  </w:style>
  <w:style w:type="character" w:customStyle="1" w:styleId="34">
    <w:name w:val="标题 2 字符"/>
    <w:basedOn w:val="16"/>
    <w:link w:val="3"/>
    <w:qFormat/>
    <w:uiPriority w:val="9"/>
    <w:rPr>
      <w:rFonts w:ascii="Arial" w:hAnsi="Arial" w:eastAsia="黑体"/>
      <w:b/>
      <w:kern w:val="2"/>
      <w:sz w:val="32"/>
      <w:szCs w:val="22"/>
      <w:lang w:val="en-US"/>
    </w:rPr>
  </w:style>
  <w:style w:type="table" w:customStyle="1" w:styleId="35">
    <w:name w:val="Table Normal1"/>
    <w:semiHidden/>
    <w:unhideWhenUsed/>
    <w:qFormat/>
    <w:uiPriority w:val="0"/>
    <w:tblPr>
      <w:tblCellMar>
        <w:top w:w="0" w:type="dxa"/>
        <w:left w:w="0" w:type="dxa"/>
        <w:bottom w:w="0" w:type="dxa"/>
        <w:right w:w="0" w:type="dxa"/>
      </w:tblCellMar>
    </w:tblPr>
  </w:style>
  <w:style w:type="paragraph" w:customStyle="1" w:styleId="36">
    <w:name w:val="p1"/>
    <w:basedOn w:val="1"/>
    <w:qFormat/>
    <w:uiPriority w:val="0"/>
    <w:pPr>
      <w:widowControl/>
      <w:spacing w:before="100" w:beforeAutospacing="1" w:after="100" w:afterAutospacing="1"/>
      <w:jc w:val="left"/>
    </w:pPr>
    <w:rPr>
      <w:rFonts w:ascii="Times New Roman" w:hAnsi="Times New Roman" w:eastAsia="Times New Roman"/>
      <w:kern w:val="0"/>
      <w:sz w:val="24"/>
      <w:szCs w:val="24"/>
      <w:lang w:val="en-GB"/>
    </w:rPr>
  </w:style>
  <w:style w:type="character" w:customStyle="1" w:styleId="37">
    <w:name w:val="s1"/>
    <w:basedOn w:val="16"/>
    <w:qFormat/>
    <w:uiPriority w:val="0"/>
  </w:style>
  <w:style w:type="paragraph" w:customStyle="1" w:styleId="38">
    <w:name w:val="p3"/>
    <w:basedOn w:val="1"/>
    <w:qFormat/>
    <w:uiPriority w:val="0"/>
    <w:pPr>
      <w:widowControl/>
      <w:spacing w:before="100" w:beforeAutospacing="1" w:after="100" w:afterAutospacing="1"/>
      <w:jc w:val="left"/>
    </w:pPr>
    <w:rPr>
      <w:rFonts w:ascii="Times New Roman" w:hAnsi="Times New Roman" w:eastAsia="Times New Roman"/>
      <w:kern w:val="0"/>
      <w:sz w:val="24"/>
      <w:szCs w:val="24"/>
      <w:lang w:val="en-GB"/>
    </w:rPr>
  </w:style>
  <w:style w:type="paragraph" w:customStyle="1" w:styleId="39">
    <w:name w:val="p4"/>
    <w:basedOn w:val="1"/>
    <w:qFormat/>
    <w:uiPriority w:val="0"/>
    <w:pPr>
      <w:widowControl/>
      <w:spacing w:before="100" w:beforeAutospacing="1" w:after="100" w:afterAutospacing="1"/>
      <w:jc w:val="left"/>
    </w:pPr>
    <w:rPr>
      <w:rFonts w:ascii="Times New Roman" w:hAnsi="Times New Roman" w:eastAsia="Times New Roman"/>
      <w:kern w:val="0"/>
      <w:sz w:val="24"/>
      <w:szCs w:val="24"/>
      <w:lang w:val="en-GB"/>
    </w:rPr>
  </w:style>
  <w:style w:type="paragraph" w:customStyle="1" w:styleId="40">
    <w:name w:val="标题1"/>
    <w:basedOn w:val="1"/>
    <w:qFormat/>
    <w:uiPriority w:val="0"/>
    <w:pPr>
      <w:autoSpaceDE w:val="0"/>
      <w:autoSpaceDN w:val="0"/>
      <w:jc w:val="center"/>
    </w:pPr>
    <w:rPr>
      <w:rFonts w:ascii="Times New Roman" w:hAnsi="Times New Roman" w:eastAsia="黑体"/>
      <w:b/>
      <w:color w:val="000000"/>
      <w:sz w:val="4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29</Pages>
  <Words>4837</Words>
  <Characters>5086</Characters>
  <Lines>1569</Lines>
  <Paragraphs>1332</Paragraphs>
  <TotalTime>12</TotalTime>
  <ScaleCrop>false</ScaleCrop>
  <LinksUpToDate>false</LinksUpToDate>
  <CharactersWithSpaces>5179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么么哒</cp:lastModifiedBy>
  <dcterms:modified xsi:type="dcterms:W3CDTF">2025-07-04T08:10:11Z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52FD26A20C074D8B81C6D15B58C2228F_13</vt:lpwstr>
  </property>
  <property fmtid="{D5CDD505-2E9C-101B-9397-08002B2CF9AE}" pid="4" name="KSOTemplateDocerSaveRecord">
    <vt:lpwstr>eyJoZGlkIjoiNDgwMmU4ZTViNmJkNjE1YzVmYmZkOGRiYTNlNTg4YmEiLCJ1c2VySWQiOiIzOTI1NTI4MTkifQ==</vt:lpwstr>
  </property>
</Properties>
</file>