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40" w:lineRule="auto"/>
        <w:jc w:val="center"/>
        <w:rPr>
          <w:rFonts w:ascii="黑体" w:hAnsi="黑体" w:eastAsia="黑体"/>
          <w:sz w:val="48"/>
          <w:szCs w:val="48"/>
        </w:rPr>
      </w:pPr>
      <w:bookmarkStart w:id="4" w:name="_GoBack"/>
      <w:bookmarkEnd w:id="4"/>
    </w:p>
    <w:p>
      <w:pPr>
        <w:spacing w:line="840" w:lineRule="auto"/>
        <w:jc w:val="center"/>
        <w:rPr>
          <w:rFonts w:ascii="黑体" w:hAnsi="黑体" w:eastAsia="黑体"/>
          <w:sz w:val="48"/>
          <w:szCs w:val="48"/>
        </w:rPr>
      </w:pPr>
      <w:r>
        <w:rPr>
          <w:rFonts w:hint="eastAsia" w:ascii="黑体" w:hAnsi="黑体" w:eastAsia="黑体"/>
          <w:sz w:val="48"/>
          <w:szCs w:val="48"/>
        </w:rPr>
        <w:drawing>
          <wp:inline distT="0" distB="0" distL="114300" distR="114300">
            <wp:extent cx="789305" cy="777240"/>
            <wp:effectExtent l="0" t="0" r="10795" b="3810"/>
            <wp:docPr id="31" name="图片 31" descr="校徽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校徽logo"/>
                    <pic:cNvPicPr>
                      <a:picLocks noChangeAspect="1"/>
                    </pic:cNvPicPr>
                  </pic:nvPicPr>
                  <pic:blipFill>
                    <a:blip r:embed="rId9"/>
                    <a:stretch>
                      <a:fillRect/>
                    </a:stretch>
                  </pic:blipFill>
                  <pic:spPr>
                    <a:xfrm>
                      <a:off x="0" y="0"/>
                      <a:ext cx="789305" cy="777240"/>
                    </a:xfrm>
                    <a:prstGeom prst="rect">
                      <a:avLst/>
                    </a:prstGeom>
                  </pic:spPr>
                </pic:pic>
              </a:graphicData>
            </a:graphic>
          </wp:inline>
        </w:drawing>
      </w:r>
      <w:r>
        <w:rPr>
          <w:rFonts w:hint="eastAsia" w:ascii="黑体" w:hAnsi="黑体" w:eastAsia="黑体"/>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10"/>
                    <a:stretch>
                      <a:fillRect/>
                    </a:stretch>
                  </pic:blipFill>
                  <pic:spPr>
                    <a:xfrm>
                      <a:off x="0" y="0"/>
                      <a:ext cx="3036570" cy="732790"/>
                    </a:xfrm>
                    <a:prstGeom prst="rect">
                      <a:avLst/>
                    </a:prstGeom>
                  </pic:spPr>
                </pic:pic>
              </a:graphicData>
            </a:graphic>
          </wp:inline>
        </w:drawing>
      </w:r>
    </w:p>
    <w:p>
      <w:pPr>
        <w:spacing w:line="840" w:lineRule="auto"/>
        <w:jc w:val="center"/>
        <w:rPr>
          <w:rFonts w:ascii="黑体" w:hAnsi="黑体" w:eastAsia="黑体"/>
          <w:sz w:val="52"/>
          <w:szCs w:val="52"/>
        </w:rPr>
      </w:pPr>
    </w:p>
    <w:p>
      <w:pPr>
        <w:spacing w:line="840" w:lineRule="auto"/>
        <w:jc w:val="center"/>
        <w:rPr>
          <w:rFonts w:ascii="黑体" w:hAnsi="黑体" w:eastAsia="黑体"/>
          <w:sz w:val="52"/>
          <w:szCs w:val="52"/>
        </w:rPr>
      </w:pPr>
    </w:p>
    <w:p>
      <w:pPr>
        <w:spacing w:before="312" w:beforeLines="100" w:line="960" w:lineRule="auto"/>
        <w:jc w:val="center"/>
        <w:rPr>
          <w:rFonts w:ascii="楷体_GB2312" w:hAnsi="宋体" w:eastAsia="楷体_GB2312"/>
          <w:b/>
          <w:sz w:val="48"/>
          <w:szCs w:val="48"/>
        </w:rPr>
      </w:pPr>
      <w:r>
        <w:rPr>
          <w:rFonts w:hint="eastAsia" w:ascii="黑体" w:hAnsi="黑体" w:eastAsia="黑体"/>
          <w:sz w:val="48"/>
          <w:szCs w:val="48"/>
        </w:rPr>
        <w:t>现代移动通信技术专业</w:t>
      </w:r>
    </w:p>
    <w:p>
      <w:pPr>
        <w:spacing w:line="360" w:lineRule="auto"/>
        <w:jc w:val="center"/>
        <w:rPr>
          <w:rFonts w:ascii="黑体" w:hAnsi="宋体" w:eastAsia="黑体"/>
          <w:sz w:val="72"/>
          <w:szCs w:val="72"/>
        </w:rPr>
      </w:pPr>
      <w:r>
        <w:rPr>
          <w:rFonts w:hint="eastAsia" w:ascii="黑体" w:hAnsi="宋体" w:eastAsia="黑体"/>
          <w:sz w:val="72"/>
          <w:szCs w:val="72"/>
        </w:rPr>
        <w:t>人才培养方案</w:t>
      </w:r>
    </w:p>
    <w:p>
      <w:pPr>
        <w:widowControl/>
        <w:spacing w:before="312" w:beforeLines="100" w:after="312" w:afterLines="100" w:line="360" w:lineRule="auto"/>
        <w:jc w:val="center"/>
        <w:rPr>
          <w:rFonts w:ascii="黑体" w:hAnsi="宋体" w:eastAsia="黑体" w:cs="宋体"/>
          <w:b/>
          <w:kern w:val="0"/>
          <w:sz w:val="50"/>
          <w:szCs w:val="44"/>
        </w:rPr>
      </w:pPr>
      <w:r>
        <w:rPr>
          <w:rFonts w:hint="eastAsia" w:ascii="黑体" w:hAnsi="宋体" w:eastAsia="黑体" w:cs="宋体"/>
          <w:b/>
          <w:kern w:val="0"/>
          <w:sz w:val="50"/>
          <w:szCs w:val="44"/>
        </w:rPr>
        <w:t>（202</w:t>
      </w:r>
      <w:r>
        <w:rPr>
          <w:rFonts w:hint="eastAsia" w:ascii="黑体" w:hAnsi="宋体" w:eastAsia="黑体" w:cs="宋体"/>
          <w:b/>
          <w:kern w:val="0"/>
          <w:sz w:val="50"/>
          <w:szCs w:val="44"/>
          <w:lang w:val="en-US" w:eastAsia="zh-CN"/>
        </w:rPr>
        <w:t>5</w:t>
      </w:r>
      <w:r>
        <w:rPr>
          <w:rFonts w:hint="eastAsia" w:ascii="黑体" w:hAnsi="宋体" w:eastAsia="黑体" w:cs="宋体"/>
          <w:b/>
          <w:kern w:val="0"/>
          <w:sz w:val="50"/>
          <w:szCs w:val="44"/>
        </w:rPr>
        <w:t>版）</w:t>
      </w:r>
    </w:p>
    <w:p>
      <w:pPr>
        <w:spacing w:line="840" w:lineRule="auto"/>
        <w:jc w:val="center"/>
        <w:rPr>
          <w:rFonts w:ascii="黑体" w:hAnsi="宋体" w:eastAsia="黑体"/>
          <w:sz w:val="36"/>
          <w:szCs w:val="36"/>
        </w:rPr>
      </w:pPr>
    </w:p>
    <w:p>
      <w:pPr>
        <w:spacing w:line="840" w:lineRule="auto"/>
        <w:rPr>
          <w:rFonts w:ascii="黑体" w:hAnsi="宋体" w:eastAsia="黑体"/>
          <w:sz w:val="24"/>
          <w:szCs w:val="24"/>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p>
    <w:p>
      <w:pPr>
        <w:spacing w:line="360" w:lineRule="auto"/>
        <w:jc w:val="center"/>
        <w:rPr>
          <w:rFonts w:ascii="黑体" w:hAnsi="宋体" w:eastAsia="黑体"/>
          <w:sz w:val="36"/>
          <w:szCs w:val="36"/>
        </w:rPr>
      </w:pPr>
      <w:r>
        <w:rPr>
          <w:rFonts w:hint="eastAsia" w:ascii="黑体" w:hAnsi="宋体" w:eastAsia="黑体"/>
          <w:sz w:val="36"/>
          <w:szCs w:val="36"/>
        </w:rPr>
        <w:t>云南轻纺职业学院制</w:t>
      </w:r>
    </w:p>
    <w:p>
      <w:pPr>
        <w:spacing w:line="360" w:lineRule="auto"/>
        <w:jc w:val="center"/>
        <w:rPr>
          <w:rFonts w:ascii="黑体" w:hAnsi="宋体" w:eastAsia="黑体"/>
          <w:sz w:val="28"/>
          <w:szCs w:val="28"/>
        </w:rPr>
      </w:pPr>
      <w:r>
        <w:rPr>
          <w:rFonts w:hint="eastAsia" w:ascii="黑体" w:hAnsi="宋体" w:eastAsia="黑体"/>
          <w:sz w:val="36"/>
          <w:szCs w:val="36"/>
        </w:rPr>
        <w:t>二〇二</w:t>
      </w:r>
      <w:r>
        <w:rPr>
          <w:rFonts w:hint="eastAsia" w:ascii="黑体" w:hAnsi="宋体" w:eastAsia="黑体"/>
          <w:sz w:val="36"/>
          <w:szCs w:val="36"/>
          <w:lang w:val="en-US" w:eastAsia="zh-CN"/>
        </w:rPr>
        <w:t>五</w:t>
      </w:r>
      <w:r>
        <w:rPr>
          <w:rFonts w:hint="eastAsia" w:ascii="黑体" w:hAnsi="宋体" w:eastAsia="黑体"/>
          <w:sz w:val="36"/>
          <w:szCs w:val="36"/>
        </w:rPr>
        <w:t>年七月</w:t>
      </w:r>
    </w:p>
    <w:p>
      <w:pPr>
        <w:spacing w:line="360" w:lineRule="auto"/>
        <w:rPr>
          <w:rFonts w:ascii="黑体" w:hAnsi="宋体" w:eastAsia="黑体"/>
          <w:sz w:val="28"/>
          <w:szCs w:val="28"/>
        </w:rPr>
        <w:sectPr>
          <w:headerReference r:id="rId5" w:type="default"/>
          <w:footerReference r:id="rId6" w:type="default"/>
          <w:footerReference r:id="rId7" w:type="even"/>
          <w:pgSz w:w="11906" w:h="16838"/>
          <w:pgMar w:top="1418" w:right="1418" w:bottom="1418" w:left="1418" w:header="737" w:footer="737" w:gutter="0"/>
          <w:pgNumType w:start="1"/>
          <w:cols w:space="425" w:num="1"/>
          <w:titlePg/>
          <w:docGrid w:type="lines" w:linePitch="312" w:charSpace="0"/>
        </w:sectPr>
      </w:pPr>
    </w:p>
    <w:p>
      <w:pPr>
        <w:spacing w:before="312" w:beforeLines="100" w:after="312" w:afterLines="100" w:line="360" w:lineRule="auto"/>
        <w:jc w:val="center"/>
        <w:rPr>
          <w:rFonts w:ascii="黑体" w:hAnsi="黑体" w:eastAsia="黑体"/>
          <w:b/>
          <w:sz w:val="32"/>
          <w:szCs w:val="32"/>
        </w:rPr>
      </w:pPr>
      <w:r>
        <w:rPr>
          <w:rFonts w:hint="eastAsia" w:ascii="黑体" w:hAnsi="黑体" w:eastAsia="黑体" w:cs="Angsana New"/>
          <w:sz w:val="32"/>
          <w:szCs w:val="32"/>
          <w:lang w:bidi="th-TH"/>
        </w:rPr>
        <w:t>现代移动通信技术专业</w:t>
      </w:r>
      <w:r>
        <w:rPr>
          <w:rFonts w:hint="eastAsia" w:ascii="黑体" w:hAnsi="黑体" w:eastAsia="黑体"/>
          <w:b/>
          <w:sz w:val="32"/>
          <w:szCs w:val="32"/>
        </w:rPr>
        <w:t>人才培养方案</w:t>
      </w:r>
    </w:p>
    <w:p>
      <w:pPr>
        <w:spacing w:line="360" w:lineRule="auto"/>
        <w:ind w:firstLine="480" w:firstLineChars="200"/>
        <w:rPr>
          <w:rFonts w:ascii="宋体"/>
          <w:kern w:val="0"/>
          <w:sz w:val="24"/>
          <w:szCs w:val="28"/>
        </w:rPr>
      </w:pPr>
      <w:r>
        <w:rPr>
          <w:rFonts w:hint="eastAsia" w:ascii="宋体" w:hAnsi="宋体"/>
          <w:kern w:val="0"/>
          <w:sz w:val="24"/>
          <w:szCs w:val="28"/>
        </w:rPr>
        <w:t>本方案是为了实现现代移动通信技术专业人才培养目标设置的基本条件及毕业生达到的人才规格，是制定本专业人才教学计划的依据。凡授予本专业毕业证书者，均应执行本方案。</w:t>
      </w:r>
    </w:p>
    <w:p>
      <w:pPr>
        <w:spacing w:before="156" w:beforeLines="50" w:after="156" w:afterLines="50"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bidi="th-TH"/>
        </w:rPr>
        <w:t>一、专业名称（专业代码）</w:t>
      </w:r>
    </w:p>
    <w:p>
      <w:pPr>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专业名称：现代移动通信技术</w:t>
      </w:r>
    </w:p>
    <w:p>
      <w:pPr>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专业代码：</w:t>
      </w:r>
      <w:r>
        <w:rPr>
          <w:rFonts w:ascii="宋体" w:hAnsi="宋体" w:cs="Angsana New"/>
          <w:color w:val="000000" w:themeColor="text1"/>
          <w:sz w:val="24"/>
          <w:szCs w:val="24"/>
          <w:lang w:bidi="th-TH"/>
          <w14:textFill>
            <w14:solidFill>
              <w14:schemeClr w14:val="tx1"/>
            </w14:solidFill>
          </w14:textFill>
        </w:rPr>
        <w:t>510302</w:t>
      </w:r>
    </w:p>
    <w:p>
      <w:pPr>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批准设置日期：</w:t>
      </w:r>
      <w:r>
        <w:rPr>
          <w:rFonts w:ascii="宋体" w:hAnsi="宋体" w:cs="Angsana New"/>
          <w:color w:val="000000" w:themeColor="text1"/>
          <w:sz w:val="24"/>
          <w:szCs w:val="24"/>
          <w:lang w:bidi="th-TH"/>
          <w14:textFill>
            <w14:solidFill>
              <w14:schemeClr w14:val="tx1"/>
            </w14:solidFill>
          </w14:textFill>
        </w:rPr>
        <w:t>2020年3月1日</w:t>
      </w:r>
    </w:p>
    <w:p>
      <w:pPr>
        <w:spacing w:line="360" w:lineRule="auto"/>
        <w:ind w:firstLine="480" w:firstLineChars="200"/>
        <w:rPr>
          <w:rFonts w:ascii="宋体"/>
          <w:color w:val="000000" w:themeColor="text1"/>
          <w:kern w:val="0"/>
          <w:sz w:val="24"/>
          <w:szCs w:val="28"/>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首次招生日期：</w:t>
      </w:r>
      <w:r>
        <w:rPr>
          <w:rFonts w:ascii="宋体" w:hAnsi="宋体" w:cs="Angsana New"/>
          <w:color w:val="000000" w:themeColor="text1"/>
          <w:sz w:val="24"/>
          <w:szCs w:val="24"/>
          <w:lang w:bidi="th-TH"/>
          <w14:textFill>
            <w14:solidFill>
              <w14:schemeClr w14:val="tx1"/>
            </w14:solidFill>
          </w14:textFill>
        </w:rPr>
        <w:t>2020年9月1日</w:t>
      </w:r>
    </w:p>
    <w:p>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二、学制与招生</w:t>
      </w:r>
    </w:p>
    <w:p>
      <w:pPr>
        <w:spacing w:line="360" w:lineRule="auto"/>
        <w:ind w:firstLine="480" w:firstLineChars="200"/>
        <w:rPr>
          <w:rFonts w:ascii="宋体"/>
          <w:kern w:val="0"/>
          <w:sz w:val="24"/>
          <w:szCs w:val="28"/>
        </w:rPr>
      </w:pPr>
      <w:r>
        <w:rPr>
          <w:rFonts w:hint="eastAsia" w:ascii="宋体" w:hAnsi="宋体"/>
          <w:kern w:val="0"/>
          <w:sz w:val="24"/>
          <w:szCs w:val="28"/>
        </w:rPr>
        <w:t>（一）</w:t>
      </w:r>
      <w:r>
        <w:rPr>
          <w:rFonts w:hint="eastAsia" w:ascii="宋体" w:hAnsi="宋体"/>
          <w:b/>
          <w:kern w:val="0"/>
          <w:sz w:val="24"/>
          <w:szCs w:val="28"/>
        </w:rPr>
        <w:t>学制：</w:t>
      </w:r>
      <w:r>
        <w:rPr>
          <w:rFonts w:hint="eastAsia" w:ascii="宋体" w:hAnsi="宋体"/>
          <w:kern w:val="0"/>
          <w:sz w:val="24"/>
          <w:szCs w:val="28"/>
        </w:rPr>
        <w:t>基本</w:t>
      </w:r>
      <w:r>
        <w:rPr>
          <w:rFonts w:hint="eastAsia" w:ascii="宋体" w:hAnsi="宋体"/>
          <w:kern w:val="0"/>
          <w:sz w:val="24"/>
          <w:szCs w:val="28"/>
          <w:lang w:val="en-US" w:eastAsia="zh-CN"/>
        </w:rPr>
        <w:t>修业</w:t>
      </w:r>
      <w:r>
        <w:rPr>
          <w:rFonts w:hint="eastAsia" w:ascii="宋体" w:hAnsi="宋体"/>
          <w:kern w:val="0"/>
          <w:sz w:val="24"/>
          <w:szCs w:val="28"/>
        </w:rPr>
        <w:t>年限以3年为主，弹性修读年限为2～5年。</w:t>
      </w:r>
    </w:p>
    <w:p>
      <w:pPr>
        <w:adjustRightInd w:val="0"/>
        <w:snapToGrid w:val="0"/>
        <w:spacing w:line="360" w:lineRule="auto"/>
        <w:ind w:firstLine="480" w:firstLineChars="200"/>
        <w:rPr>
          <w:rFonts w:hint="eastAsia" w:ascii="宋体" w:hAnsi="宋体"/>
          <w:kern w:val="0"/>
          <w:sz w:val="24"/>
          <w:szCs w:val="28"/>
        </w:rPr>
      </w:pPr>
      <w:r>
        <w:rPr>
          <w:rFonts w:hint="eastAsia" w:ascii="宋体" w:hAnsi="宋体"/>
          <w:kern w:val="0"/>
          <w:sz w:val="24"/>
          <w:szCs w:val="28"/>
        </w:rPr>
        <w:t>（二）</w:t>
      </w:r>
      <w:r>
        <w:rPr>
          <w:rFonts w:hint="eastAsia" w:ascii="宋体" w:hAnsi="宋体"/>
          <w:b/>
          <w:kern w:val="0"/>
          <w:sz w:val="24"/>
          <w:szCs w:val="28"/>
        </w:rPr>
        <w:t>招生对象：</w:t>
      </w:r>
      <w:r>
        <w:rPr>
          <w:rFonts w:hint="eastAsia" w:ascii="宋体" w:hAnsi="宋体"/>
          <w:kern w:val="0"/>
          <w:sz w:val="24"/>
          <w:szCs w:val="28"/>
        </w:rPr>
        <w:t>普通高中毕业、中等职业学校毕业或具有同等学力者。</w:t>
      </w:r>
    </w:p>
    <w:p>
      <w:pPr>
        <w:adjustRightInd w:val="0"/>
        <w:snapToGrid w:val="0"/>
        <w:spacing w:line="360" w:lineRule="auto"/>
        <w:ind w:firstLine="480" w:firstLineChars="200"/>
        <w:rPr>
          <w:rFonts w:hint="eastAsia" w:ascii="宋体" w:hAnsi="宋体" w:eastAsia="宋体"/>
          <w:kern w:val="0"/>
          <w:sz w:val="24"/>
          <w:szCs w:val="28"/>
          <w:lang w:eastAsia="zh-CN"/>
        </w:rPr>
      </w:pPr>
      <w:r>
        <w:rPr>
          <w:rFonts w:hint="eastAsia" w:ascii="宋体" w:hAnsi="宋体"/>
          <w:kern w:val="0"/>
          <w:sz w:val="24"/>
          <w:szCs w:val="28"/>
        </w:rPr>
        <w:t>（</w:t>
      </w:r>
      <w:r>
        <w:rPr>
          <w:rFonts w:hint="eastAsia" w:ascii="宋体" w:hAnsi="宋体"/>
          <w:kern w:val="0"/>
          <w:sz w:val="24"/>
          <w:szCs w:val="28"/>
          <w:lang w:val="en-US" w:eastAsia="zh-CN"/>
        </w:rPr>
        <w:t>三</w:t>
      </w:r>
      <w:r>
        <w:rPr>
          <w:rFonts w:hint="eastAsia" w:ascii="宋体" w:hAnsi="宋体"/>
          <w:kern w:val="0"/>
          <w:sz w:val="24"/>
          <w:szCs w:val="28"/>
        </w:rPr>
        <w:t>）</w:t>
      </w:r>
      <w:r>
        <w:rPr>
          <w:rFonts w:hint="eastAsia" w:ascii="宋体" w:hAnsi="宋体"/>
          <w:b/>
          <w:kern w:val="0"/>
          <w:sz w:val="24"/>
          <w:szCs w:val="28"/>
        </w:rPr>
        <w:t>招生方式：</w:t>
      </w:r>
      <w:r>
        <w:rPr>
          <w:rFonts w:hint="eastAsia" w:ascii="宋体" w:hAnsi="宋体"/>
          <w:kern w:val="0"/>
          <w:sz w:val="24"/>
          <w:szCs w:val="28"/>
        </w:rPr>
        <w:t>统一招生、高等职业院校分类考试招生。</w:t>
      </w:r>
    </w:p>
    <w:p>
      <w:pPr>
        <w:spacing w:before="156" w:beforeLines="50" w:after="156" w:afterLines="50"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val="en-US" w:eastAsia="zh-CN" w:bidi="th-TH"/>
        </w:rPr>
        <w:t>三</w:t>
      </w:r>
      <w:r>
        <w:rPr>
          <w:rFonts w:hint="eastAsia" w:ascii="黑体" w:hAnsi="黑体" w:eastAsia="黑体" w:cs="Angsana New"/>
          <w:bCs/>
          <w:sz w:val="28"/>
          <w:szCs w:val="28"/>
          <w:lang w:bidi="th-TH"/>
        </w:rPr>
        <w:t>、职业面向</w:t>
      </w:r>
    </w:p>
    <w:p>
      <w:pPr>
        <w:adjustRightInd w:val="0"/>
        <w:snapToGrid w:val="0"/>
        <w:spacing w:line="360" w:lineRule="auto"/>
        <w:ind w:firstLine="480" w:firstLineChars="200"/>
        <w:rPr>
          <w:rFonts w:ascii="宋体" w:hAnsi="宋体"/>
          <w:kern w:val="0"/>
          <w:sz w:val="24"/>
          <w:szCs w:val="28"/>
        </w:rPr>
      </w:pPr>
      <w:r>
        <w:rPr>
          <w:rFonts w:hint="eastAsia" w:ascii="宋体" w:hAnsi="宋体" w:cs="Angsana New"/>
          <w:sz w:val="24"/>
          <w:szCs w:val="24"/>
          <w:lang w:bidi="th-TH"/>
        </w:rPr>
        <w:t>本专业职业面向见表</w:t>
      </w:r>
      <w:r>
        <w:rPr>
          <w:rFonts w:ascii="宋体" w:hAnsi="宋体" w:cs="Angsana New"/>
          <w:sz w:val="24"/>
          <w:szCs w:val="24"/>
          <w:lang w:bidi="th-TH"/>
        </w:rPr>
        <w:t>1</w:t>
      </w:r>
      <w:r>
        <w:rPr>
          <w:rFonts w:hint="eastAsia" w:ascii="宋体" w:hAnsi="宋体" w:cs="Angsana New"/>
          <w:sz w:val="24"/>
          <w:szCs w:val="24"/>
          <w:lang w:bidi="th-TH"/>
        </w:rPr>
        <w:t>。</w:t>
      </w:r>
    </w:p>
    <w:p>
      <w:pPr>
        <w:adjustRightInd w:val="0"/>
        <w:snapToGrid w:val="0"/>
        <w:spacing w:line="360" w:lineRule="auto"/>
        <w:jc w:val="center"/>
        <w:rPr>
          <w:rFonts w:ascii="宋体" w:cs="Angsana New"/>
          <w:b/>
          <w:color w:val="000000" w:themeColor="text1"/>
          <w:szCs w:val="21"/>
          <w:lang w:bidi="th-TH"/>
          <w14:textFill>
            <w14:solidFill>
              <w14:schemeClr w14:val="tx1"/>
            </w14:solidFill>
          </w14:textFill>
        </w:rPr>
      </w:pPr>
      <w:r>
        <w:rPr>
          <w:rFonts w:hint="eastAsia" w:ascii="宋体" w:hAnsi="宋体" w:cs="Angsana New"/>
          <w:b/>
          <w:color w:val="000000" w:themeColor="text1"/>
          <w:szCs w:val="21"/>
          <w:lang w:bidi="th-TH"/>
          <w14:textFill>
            <w14:solidFill>
              <w14:schemeClr w14:val="tx1"/>
            </w14:solidFill>
          </w14:textFill>
        </w:rPr>
        <w:t>表</w:t>
      </w:r>
      <w:r>
        <w:rPr>
          <w:rFonts w:ascii="宋体" w:hAnsi="宋体" w:cs="Angsana New"/>
          <w:b/>
          <w:color w:val="000000" w:themeColor="text1"/>
          <w:szCs w:val="21"/>
          <w:lang w:bidi="th-TH"/>
          <w14:textFill>
            <w14:solidFill>
              <w14:schemeClr w14:val="tx1"/>
            </w14:solidFill>
          </w14:textFill>
        </w:rPr>
        <w:t xml:space="preserve">1  </w:t>
      </w:r>
      <w:r>
        <w:rPr>
          <w:rFonts w:hint="eastAsia" w:ascii="宋体" w:hAnsi="宋体" w:cs="Angsana New"/>
          <w:b/>
          <w:color w:val="000000" w:themeColor="text1"/>
          <w:szCs w:val="21"/>
          <w:lang w:bidi="th-TH"/>
          <w14:textFill>
            <w14:solidFill>
              <w14:schemeClr w14:val="tx1"/>
            </w14:solidFill>
          </w14:textFill>
        </w:rPr>
        <w:t>职业面向表</w:t>
      </w:r>
    </w:p>
    <w:tbl>
      <w:tblPr>
        <w:tblStyle w:val="12"/>
        <w:tblW w:w="9565" w:type="dxa"/>
        <w:jc w:val="center"/>
        <w:tblLayout w:type="fixed"/>
        <w:tblCellMar>
          <w:top w:w="0" w:type="dxa"/>
          <w:left w:w="0" w:type="dxa"/>
          <w:bottom w:w="0" w:type="dxa"/>
          <w:right w:w="0" w:type="dxa"/>
        </w:tblCellMar>
      </w:tblPr>
      <w:tblGrid>
        <w:gridCol w:w="950"/>
        <w:gridCol w:w="1134"/>
        <w:gridCol w:w="1134"/>
        <w:gridCol w:w="2416"/>
        <w:gridCol w:w="1701"/>
        <w:gridCol w:w="2230"/>
      </w:tblGrid>
      <w:tr>
        <w:trPr>
          <w:trHeight w:val="680" w:hRule="atLeast"/>
          <w:jc w:val="center"/>
        </w:trPr>
        <w:tc>
          <w:tcPr>
            <w:tcW w:w="95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所属专业大类（代码）</w:t>
            </w:r>
          </w:p>
        </w:tc>
        <w:tc>
          <w:tcPr>
            <w:tcW w:w="1134"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所属专业类（代码）</w:t>
            </w:r>
          </w:p>
        </w:tc>
        <w:tc>
          <w:tcPr>
            <w:tcW w:w="1134"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对应行业（代码）</w:t>
            </w:r>
          </w:p>
        </w:tc>
        <w:tc>
          <w:tcPr>
            <w:tcW w:w="2416"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主要职业类别（代码）</w:t>
            </w:r>
          </w:p>
        </w:tc>
        <w:tc>
          <w:tcPr>
            <w:tcW w:w="1701"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hAns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主要岗位（群）</w:t>
            </w:r>
          </w:p>
          <w:p>
            <w:pPr>
              <w:adjustRightInd w:val="0"/>
              <w:snapToGrid w:val="0"/>
              <w:jc w:val="center"/>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类别列举</w:t>
            </w:r>
          </w:p>
        </w:tc>
        <w:tc>
          <w:tcPr>
            <w:tcW w:w="223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职业资格（职业技能等级）证书列举</w:t>
            </w:r>
          </w:p>
        </w:tc>
      </w:tr>
      <w:tr>
        <w:trPr>
          <w:trHeight w:val="2687" w:hRule="atLeast"/>
          <w:jc w:val="center"/>
        </w:trPr>
        <w:tc>
          <w:tcPr>
            <w:tcW w:w="95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电子与信息大类（5</w:t>
            </w:r>
            <w:r>
              <w:rPr>
                <w:rFonts w:ascii="宋体"/>
                <w:color w:val="000000" w:themeColor="text1"/>
                <w:szCs w:val="21"/>
                <w14:textFill>
                  <w14:solidFill>
                    <w14:schemeClr w14:val="tx1"/>
                  </w14:solidFill>
                </w14:textFill>
              </w:rPr>
              <w:t>1</w:t>
            </w:r>
            <w:r>
              <w:rPr>
                <w:rFonts w:hint="eastAsia" w:ascii="宋体"/>
                <w:color w:val="000000" w:themeColor="text1"/>
                <w:szCs w:val="21"/>
                <w14:textFill>
                  <w14:solidFill>
                    <w14:schemeClr w14:val="tx1"/>
                  </w14:solidFill>
                </w14:textFill>
              </w:rPr>
              <w:t>）</w:t>
            </w:r>
          </w:p>
        </w:tc>
        <w:tc>
          <w:tcPr>
            <w:tcW w:w="1134" w:type="dxa"/>
            <w:tcBorders>
              <w:top w:val="nil"/>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通信类（5</w:t>
            </w:r>
            <w:r>
              <w:rPr>
                <w:rFonts w:ascii="宋体"/>
                <w:color w:val="000000" w:themeColor="text1"/>
                <w:szCs w:val="21"/>
                <w14:textFill>
                  <w14:solidFill>
                    <w14:schemeClr w14:val="tx1"/>
                  </w14:solidFill>
                </w14:textFill>
              </w:rPr>
              <w:t>103</w:t>
            </w:r>
            <w:r>
              <w:rPr>
                <w:rFonts w:hint="eastAsia" w:ascii="宋体"/>
                <w:color w:val="000000" w:themeColor="text1"/>
                <w:szCs w:val="21"/>
                <w14:textFill>
                  <w14:solidFill>
                    <w14:schemeClr w14:val="tx1"/>
                  </w14:solidFill>
                </w14:textFill>
              </w:rPr>
              <w:t>）</w:t>
            </w:r>
          </w:p>
        </w:tc>
        <w:tc>
          <w:tcPr>
            <w:tcW w:w="1134" w:type="dxa"/>
            <w:tcBorders>
              <w:top w:val="nil"/>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jc w:val="center"/>
              <w:rPr>
                <w:rFonts w:ascii="宋体"/>
                <w:color w:val="000000" w:themeColor="text1"/>
                <w:szCs w:val="21"/>
                <w14:textFill>
                  <w14:solidFill>
                    <w14:schemeClr w14:val="tx1"/>
                  </w14:solidFill>
                </w14:textFill>
              </w:rPr>
            </w:pPr>
            <w:r>
              <w:rPr>
                <w:spacing w:val="-1"/>
                <w:sz w:val="18"/>
              </w:rPr>
              <w:t>电信、广播电视和卫星传输服务</w:t>
            </w:r>
            <w:r>
              <w:rPr>
                <w:spacing w:val="6"/>
                <w:sz w:val="18"/>
              </w:rPr>
              <w:t>（</w:t>
            </w:r>
            <w:r>
              <w:rPr>
                <w:rFonts w:ascii="Times New Roman" w:eastAsia="Times New Roman"/>
                <w:spacing w:val="3"/>
                <w:sz w:val="18"/>
              </w:rPr>
              <w:t>63</w:t>
            </w:r>
            <w:r>
              <w:rPr>
                <w:spacing w:val="-18"/>
                <w:sz w:val="18"/>
              </w:rPr>
              <w:t>），</w:t>
            </w:r>
            <w:r>
              <w:rPr>
                <w:spacing w:val="3"/>
                <w:sz w:val="18"/>
              </w:rPr>
              <w:t>软件和信息技术服务业</w:t>
            </w:r>
            <w:r>
              <w:rPr>
                <w:spacing w:val="6"/>
                <w:sz w:val="18"/>
              </w:rPr>
              <w:t>（</w:t>
            </w:r>
            <w:r>
              <w:rPr>
                <w:rFonts w:ascii="Times New Roman" w:eastAsia="Times New Roman"/>
                <w:spacing w:val="3"/>
                <w:sz w:val="18"/>
              </w:rPr>
              <w:t>65</w:t>
            </w:r>
            <w:r>
              <w:rPr>
                <w:spacing w:val="-87"/>
                <w:sz w:val="18"/>
              </w:rPr>
              <w:t>）</w:t>
            </w:r>
            <w:r>
              <w:rPr>
                <w:sz w:val="18"/>
              </w:rPr>
              <w:t>，</w:t>
            </w:r>
            <w:r>
              <w:rPr>
                <w:spacing w:val="6"/>
                <w:sz w:val="18"/>
              </w:rPr>
              <w:t>互联网和相关服务</w:t>
            </w:r>
            <w:r>
              <w:rPr>
                <w:spacing w:val="3"/>
                <w:sz w:val="18"/>
              </w:rPr>
              <w:t>（</w:t>
            </w:r>
            <w:r>
              <w:rPr>
                <w:rFonts w:ascii="Times New Roman" w:eastAsia="Times New Roman"/>
                <w:spacing w:val="3"/>
                <w:sz w:val="18"/>
              </w:rPr>
              <w:t>64</w:t>
            </w:r>
            <w:r>
              <w:rPr>
                <w:spacing w:val="3"/>
                <w:sz w:val="18"/>
              </w:rPr>
              <w:t>）</w:t>
            </w:r>
          </w:p>
        </w:tc>
        <w:tc>
          <w:tcPr>
            <w:tcW w:w="2416" w:type="dxa"/>
            <w:tcBorders>
              <w:top w:val="nil"/>
              <w:left w:val="nil"/>
              <w:bottom w:val="single" w:color="auto" w:sz="6" w:space="0"/>
              <w:right w:val="single" w:color="auto" w:sz="6" w:space="0"/>
            </w:tcBorders>
            <w:tcMar>
              <w:top w:w="0" w:type="dxa"/>
              <w:left w:w="105" w:type="dxa"/>
              <w:bottom w:w="0" w:type="dxa"/>
              <w:right w:w="105" w:type="dxa"/>
            </w:tcMar>
            <w:vAlign w:val="center"/>
          </w:tcPr>
          <w:p>
            <w:pPr>
              <w:pStyle w:val="22"/>
              <w:spacing w:before="47"/>
              <w:ind w:left="103"/>
              <w:rPr>
                <w:sz w:val="18"/>
              </w:rPr>
            </w:pPr>
            <w:r>
              <w:rPr>
                <w:sz w:val="18"/>
              </w:rPr>
              <w:t xml:space="preserve">通信工程技术人员 </w:t>
            </w:r>
            <w:r>
              <w:rPr>
                <w:rFonts w:ascii="Times New Roman" w:eastAsia="Times New Roman"/>
                <w:spacing w:val="-24"/>
                <w:sz w:val="18"/>
              </w:rPr>
              <w:t>S</w:t>
            </w:r>
            <w:r>
              <w:rPr>
                <w:spacing w:val="6"/>
                <w:sz w:val="18"/>
              </w:rPr>
              <w:t>（</w:t>
            </w:r>
            <w:r>
              <w:rPr>
                <w:rFonts w:ascii="Times New Roman" w:eastAsia="Times New Roman"/>
                <w:spacing w:val="3"/>
                <w:sz w:val="18"/>
              </w:rPr>
              <w:t>2</w:t>
            </w:r>
            <w:r>
              <w:rPr>
                <w:rFonts w:ascii="Times New Roman" w:eastAsia="Times New Roman"/>
                <w:spacing w:val="2"/>
                <w:sz w:val="18"/>
              </w:rPr>
              <w:t>-</w:t>
            </w:r>
            <w:r>
              <w:rPr>
                <w:rFonts w:ascii="Times New Roman" w:eastAsia="Times New Roman"/>
                <w:spacing w:val="3"/>
                <w:sz w:val="18"/>
              </w:rPr>
              <w:t>0</w:t>
            </w:r>
            <w:r>
              <w:rPr>
                <w:rFonts w:ascii="Times New Roman" w:eastAsia="Times New Roman"/>
                <w:spacing w:val="2"/>
                <w:sz w:val="18"/>
              </w:rPr>
              <w:t>2</w:t>
            </w:r>
            <w:r>
              <w:rPr>
                <w:rFonts w:ascii="Times New Roman" w:eastAsia="Times New Roman"/>
                <w:spacing w:val="3"/>
                <w:sz w:val="18"/>
              </w:rPr>
              <w:t>-1</w:t>
            </w:r>
            <w:r>
              <w:rPr>
                <w:rFonts w:ascii="Times New Roman" w:eastAsia="Times New Roman"/>
                <w:spacing w:val="2"/>
                <w:sz w:val="18"/>
              </w:rPr>
              <w:t>0</w:t>
            </w:r>
            <w:r>
              <w:rPr>
                <w:rFonts w:ascii="Times New Roman" w:eastAsia="Times New Roman"/>
                <w:spacing w:val="3"/>
                <w:sz w:val="18"/>
              </w:rPr>
              <w:t>-</w:t>
            </w:r>
            <w:r>
              <w:rPr>
                <w:rFonts w:ascii="Times New Roman" w:eastAsia="Times New Roman"/>
                <w:spacing w:val="2"/>
                <w:sz w:val="18"/>
              </w:rPr>
              <w:t>0</w:t>
            </w:r>
            <w:r>
              <w:rPr>
                <w:rFonts w:ascii="Times New Roman" w:eastAsia="Times New Roman"/>
                <w:spacing w:val="3"/>
                <w:sz w:val="18"/>
              </w:rPr>
              <w:t>1</w:t>
            </w:r>
            <w:r>
              <w:rPr>
                <w:spacing w:val="-88"/>
                <w:sz w:val="18"/>
              </w:rPr>
              <w:t>）</w:t>
            </w:r>
            <w:r>
              <w:rPr>
                <w:spacing w:val="-3"/>
                <w:sz w:val="18"/>
              </w:rPr>
              <w:t xml:space="preserve">、信息系统运行维护工程技术人员 </w:t>
            </w:r>
            <w:r>
              <w:rPr>
                <w:rFonts w:ascii="Times New Roman" w:eastAsia="Times New Roman"/>
                <w:sz w:val="18"/>
              </w:rPr>
              <w:t>S</w:t>
            </w:r>
            <w:r>
              <w:rPr>
                <w:spacing w:val="6"/>
                <w:sz w:val="18"/>
              </w:rPr>
              <w:t>（</w:t>
            </w:r>
            <w:r>
              <w:rPr>
                <w:rFonts w:ascii="Times New Roman" w:eastAsia="Times New Roman"/>
                <w:spacing w:val="3"/>
                <w:sz w:val="18"/>
              </w:rPr>
              <w:t>2</w:t>
            </w:r>
            <w:r>
              <w:rPr>
                <w:rFonts w:ascii="Times New Roman" w:eastAsia="Times New Roman"/>
                <w:spacing w:val="2"/>
                <w:sz w:val="18"/>
              </w:rPr>
              <w:t>-</w:t>
            </w:r>
            <w:r>
              <w:rPr>
                <w:rFonts w:ascii="Times New Roman" w:eastAsia="Times New Roman"/>
                <w:spacing w:val="3"/>
                <w:sz w:val="18"/>
              </w:rPr>
              <w:t>02</w:t>
            </w:r>
            <w:r>
              <w:rPr>
                <w:rFonts w:ascii="Times New Roman" w:eastAsia="Times New Roman"/>
                <w:spacing w:val="2"/>
                <w:sz w:val="18"/>
              </w:rPr>
              <w:t>-</w:t>
            </w:r>
            <w:r>
              <w:rPr>
                <w:rFonts w:ascii="Times New Roman" w:eastAsia="Times New Roman"/>
                <w:spacing w:val="3"/>
                <w:sz w:val="18"/>
              </w:rPr>
              <w:t>1</w:t>
            </w:r>
            <w:r>
              <w:rPr>
                <w:rFonts w:ascii="Times New Roman" w:eastAsia="Times New Roman"/>
                <w:spacing w:val="2"/>
                <w:sz w:val="18"/>
              </w:rPr>
              <w:t>0</w:t>
            </w:r>
            <w:r>
              <w:rPr>
                <w:rFonts w:ascii="Times New Roman" w:eastAsia="Times New Roman"/>
                <w:spacing w:val="3"/>
                <w:sz w:val="18"/>
              </w:rPr>
              <w:t>-08</w:t>
            </w:r>
            <w:r>
              <w:rPr>
                <w:spacing w:val="-88"/>
                <w:sz w:val="18"/>
              </w:rPr>
              <w:t>）</w:t>
            </w:r>
            <w:r>
              <w:rPr>
                <w:spacing w:val="1"/>
                <w:sz w:val="18"/>
              </w:rPr>
              <w:t>、信息通信网络运行管理</w:t>
            </w:r>
            <w:r>
              <w:rPr>
                <w:rFonts w:ascii="Times New Roman" w:eastAsia="Times New Roman"/>
                <w:spacing w:val="4"/>
                <w:sz w:val="18"/>
              </w:rPr>
              <w:t>S</w:t>
            </w:r>
            <w:r>
              <w:rPr>
                <w:spacing w:val="6"/>
                <w:sz w:val="18"/>
              </w:rPr>
              <w:t>（</w:t>
            </w:r>
            <w:r>
              <w:rPr>
                <w:rFonts w:ascii="Times New Roman" w:eastAsia="Times New Roman"/>
                <w:spacing w:val="2"/>
                <w:sz w:val="18"/>
              </w:rPr>
              <w:t>4</w:t>
            </w:r>
            <w:r>
              <w:rPr>
                <w:rFonts w:ascii="Times New Roman" w:eastAsia="Times New Roman"/>
                <w:spacing w:val="3"/>
                <w:sz w:val="18"/>
              </w:rPr>
              <w:t>-0</w:t>
            </w:r>
            <w:r>
              <w:rPr>
                <w:rFonts w:ascii="Times New Roman" w:eastAsia="Times New Roman"/>
                <w:spacing w:val="2"/>
                <w:sz w:val="18"/>
              </w:rPr>
              <w:t>4</w:t>
            </w:r>
            <w:r>
              <w:rPr>
                <w:rFonts w:ascii="Times New Roman" w:eastAsia="Times New Roman"/>
                <w:spacing w:val="3"/>
                <w:sz w:val="18"/>
              </w:rPr>
              <w:t>-</w:t>
            </w:r>
            <w:r>
              <w:rPr>
                <w:rFonts w:ascii="Times New Roman" w:eastAsia="Times New Roman"/>
                <w:spacing w:val="2"/>
                <w:sz w:val="18"/>
              </w:rPr>
              <w:t>0</w:t>
            </w:r>
            <w:r>
              <w:rPr>
                <w:rFonts w:ascii="Times New Roman" w:eastAsia="Times New Roman"/>
                <w:spacing w:val="3"/>
                <w:sz w:val="18"/>
              </w:rPr>
              <w:t>4-</w:t>
            </w:r>
            <w:r>
              <w:rPr>
                <w:rFonts w:ascii="Times New Roman" w:eastAsia="Times New Roman"/>
                <w:spacing w:val="2"/>
                <w:sz w:val="18"/>
              </w:rPr>
              <w:t>0</w:t>
            </w:r>
            <w:r>
              <w:rPr>
                <w:rFonts w:ascii="Times New Roman" w:eastAsia="Times New Roman"/>
                <w:spacing w:val="3"/>
                <w:sz w:val="18"/>
              </w:rPr>
              <w:t>1</w:t>
            </w:r>
            <w:r>
              <w:rPr>
                <w:spacing w:val="-87"/>
                <w:sz w:val="18"/>
              </w:rPr>
              <w:t>）</w:t>
            </w:r>
            <w:r>
              <w:rPr>
                <w:spacing w:val="6"/>
                <w:sz w:val="18"/>
              </w:rPr>
              <w:t>、信息通信信</w:t>
            </w:r>
            <w:r>
              <w:rPr>
                <w:spacing w:val="-1"/>
                <w:sz w:val="18"/>
              </w:rPr>
              <w:t xml:space="preserve">息化系统管理员 </w:t>
            </w:r>
            <w:r>
              <w:rPr>
                <w:rFonts w:ascii="Times New Roman" w:eastAsia="Times New Roman"/>
                <w:spacing w:val="-48"/>
                <w:sz w:val="18"/>
              </w:rPr>
              <w:t>S</w:t>
            </w:r>
            <w:r>
              <w:rPr>
                <w:spacing w:val="6"/>
                <w:sz w:val="18"/>
              </w:rPr>
              <w:t>（</w:t>
            </w:r>
            <w:r>
              <w:rPr>
                <w:rFonts w:ascii="Times New Roman" w:eastAsia="Times New Roman"/>
                <w:spacing w:val="3"/>
                <w:sz w:val="18"/>
              </w:rPr>
              <w:t>4-</w:t>
            </w:r>
            <w:r>
              <w:rPr>
                <w:rFonts w:ascii="Times New Roman" w:eastAsia="Times New Roman"/>
                <w:spacing w:val="2"/>
                <w:sz w:val="18"/>
              </w:rPr>
              <w:t>0</w:t>
            </w:r>
            <w:r>
              <w:rPr>
                <w:rFonts w:ascii="Times New Roman" w:eastAsia="Times New Roman"/>
                <w:spacing w:val="3"/>
                <w:sz w:val="18"/>
              </w:rPr>
              <w:t>4</w:t>
            </w:r>
            <w:r>
              <w:rPr>
                <w:rFonts w:ascii="Times New Roman" w:eastAsia="Times New Roman"/>
                <w:spacing w:val="2"/>
                <w:sz w:val="18"/>
              </w:rPr>
              <w:t>-</w:t>
            </w:r>
            <w:r>
              <w:rPr>
                <w:rFonts w:ascii="Times New Roman" w:eastAsia="Times New Roman"/>
                <w:spacing w:val="3"/>
                <w:sz w:val="18"/>
              </w:rPr>
              <w:t>04</w:t>
            </w:r>
            <w:r>
              <w:rPr>
                <w:rFonts w:ascii="Times New Roman" w:eastAsia="Times New Roman"/>
                <w:spacing w:val="2"/>
                <w:sz w:val="18"/>
              </w:rPr>
              <w:t>-</w:t>
            </w:r>
            <w:r>
              <w:rPr>
                <w:rFonts w:ascii="Times New Roman" w:eastAsia="Times New Roman"/>
                <w:spacing w:val="3"/>
                <w:sz w:val="18"/>
              </w:rPr>
              <w:t>03</w:t>
            </w:r>
            <w:r>
              <w:rPr>
                <w:spacing w:val="-88"/>
                <w:sz w:val="18"/>
              </w:rPr>
              <w:t>）</w:t>
            </w:r>
            <w:r>
              <w:rPr>
                <w:spacing w:val="-6"/>
                <w:sz w:val="18"/>
              </w:rPr>
              <w:t>、物联网工程技术人</w:t>
            </w:r>
            <w:r>
              <w:rPr>
                <w:rFonts w:ascii="Times New Roman" w:eastAsia="Times New Roman"/>
                <w:spacing w:val="-47"/>
                <w:sz w:val="18"/>
              </w:rPr>
              <w:t>S</w:t>
            </w:r>
            <w:r>
              <w:rPr>
                <w:spacing w:val="7"/>
                <w:sz w:val="18"/>
              </w:rPr>
              <w:t>（</w:t>
            </w:r>
            <w:r>
              <w:rPr>
                <w:rFonts w:ascii="Times New Roman" w:eastAsia="Times New Roman"/>
                <w:spacing w:val="2"/>
                <w:sz w:val="18"/>
              </w:rPr>
              <w:t>2</w:t>
            </w:r>
            <w:r>
              <w:rPr>
                <w:rFonts w:ascii="Times New Roman" w:eastAsia="Times New Roman"/>
                <w:spacing w:val="3"/>
                <w:sz w:val="18"/>
              </w:rPr>
              <w:t>-</w:t>
            </w:r>
            <w:r>
              <w:rPr>
                <w:rFonts w:ascii="Times New Roman" w:eastAsia="Times New Roman"/>
                <w:spacing w:val="2"/>
                <w:sz w:val="18"/>
              </w:rPr>
              <w:t>0</w:t>
            </w:r>
            <w:r>
              <w:rPr>
                <w:rFonts w:ascii="Times New Roman" w:eastAsia="Times New Roman"/>
                <w:spacing w:val="3"/>
                <w:sz w:val="18"/>
              </w:rPr>
              <w:t>2-</w:t>
            </w:r>
            <w:r>
              <w:rPr>
                <w:rFonts w:ascii="Times New Roman" w:eastAsia="Times New Roman"/>
                <w:spacing w:val="2"/>
                <w:sz w:val="18"/>
              </w:rPr>
              <w:t>3</w:t>
            </w:r>
            <w:r>
              <w:rPr>
                <w:rFonts w:ascii="Times New Roman" w:eastAsia="Times New Roman"/>
                <w:spacing w:val="3"/>
                <w:sz w:val="18"/>
              </w:rPr>
              <w:t>8</w:t>
            </w:r>
            <w:r>
              <w:rPr>
                <w:rFonts w:ascii="Times New Roman" w:eastAsia="Times New Roman"/>
                <w:spacing w:val="2"/>
                <w:sz w:val="18"/>
              </w:rPr>
              <w:t>-</w:t>
            </w:r>
            <w:r>
              <w:rPr>
                <w:rFonts w:ascii="Times New Roman" w:eastAsia="Times New Roman"/>
                <w:spacing w:val="3"/>
                <w:sz w:val="18"/>
              </w:rPr>
              <w:t>02</w:t>
            </w:r>
            <w:r>
              <w:rPr>
                <w:spacing w:val="-88"/>
                <w:sz w:val="18"/>
              </w:rPr>
              <w:t>）</w:t>
            </w:r>
            <w:r>
              <w:rPr>
                <w:sz w:val="18"/>
              </w:rPr>
              <w:t>、</w:t>
            </w:r>
          </w:p>
          <w:p>
            <w:pPr>
              <w:adjustRightInd w:val="0"/>
              <w:snapToGrid w:val="0"/>
              <w:rPr>
                <w:rFonts w:ascii="宋体"/>
                <w:color w:val="000000" w:themeColor="text1"/>
                <w:szCs w:val="21"/>
                <w14:textFill>
                  <w14:solidFill>
                    <w14:schemeClr w14:val="tx1"/>
                  </w14:solidFill>
                </w14:textFill>
              </w:rPr>
            </w:pPr>
            <w:r>
              <w:rPr>
                <w:sz w:val="18"/>
              </w:rPr>
              <w:t xml:space="preserve">数字化解决方案设计师 </w:t>
            </w:r>
            <w:r>
              <w:rPr>
                <w:rFonts w:ascii="Times New Roman" w:eastAsia="Times New Roman"/>
                <w:sz w:val="18"/>
              </w:rPr>
              <w:t>S</w:t>
            </w:r>
            <w:r>
              <w:rPr>
                <w:sz w:val="18"/>
              </w:rPr>
              <w:t>（</w:t>
            </w:r>
            <w:r>
              <w:rPr>
                <w:rFonts w:ascii="Times New Roman" w:eastAsia="Times New Roman"/>
                <w:sz w:val="18"/>
              </w:rPr>
              <w:t>4-04-04-05</w:t>
            </w:r>
            <w:r>
              <w:rPr>
                <w:sz w:val="18"/>
              </w:rPr>
              <w:t>）</w:t>
            </w:r>
          </w:p>
        </w:tc>
        <w:tc>
          <w:tcPr>
            <w:tcW w:w="1701" w:type="dxa"/>
            <w:tcBorders>
              <w:top w:val="nil"/>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rPr>
                <w:rFonts w:ascii="宋体"/>
                <w:color w:val="000000" w:themeColor="text1"/>
                <w:szCs w:val="21"/>
                <w14:textFill>
                  <w14:solidFill>
                    <w14:schemeClr w14:val="tx1"/>
                  </w14:solidFill>
                </w14:textFill>
              </w:rPr>
            </w:pPr>
            <w:r>
              <w:rPr>
                <w:sz w:val="18"/>
              </w:rPr>
              <w:t>通信工程勘察、设计、施工、监理，移动通信系统基站安装、调测与维护，移动通信网络规划、开通、运维与优化，移动通信网络相关的系统集成及移动通信行业客户解决方案实施、营销</w:t>
            </w:r>
          </w:p>
        </w:tc>
        <w:tc>
          <w:tcPr>
            <w:tcW w:w="2230" w:type="dxa"/>
            <w:tcBorders>
              <w:top w:val="nil"/>
              <w:left w:val="nil"/>
              <w:bottom w:val="single" w:color="auto" w:sz="6" w:space="0"/>
              <w:right w:val="single" w:color="auto" w:sz="6" w:space="0"/>
            </w:tcBorders>
            <w:tcMar>
              <w:top w:w="0" w:type="dxa"/>
              <w:left w:w="105" w:type="dxa"/>
              <w:bottom w:w="0" w:type="dxa"/>
              <w:right w:w="105" w:type="dxa"/>
            </w:tcMar>
            <w:vAlign w:val="center"/>
          </w:tcPr>
          <w:p>
            <w:pPr>
              <w:adjustRightInd w:val="0"/>
              <w:snapToGrid w:val="0"/>
              <w:jc w:val="left"/>
              <w:rPr>
                <w:rFonts w:ascii="宋体"/>
                <w:color w:val="000000" w:themeColor="text1"/>
                <w:szCs w:val="21"/>
                <w14:textFill>
                  <w14:solidFill>
                    <w14:schemeClr w14:val="tx1"/>
                  </w14:solidFill>
                </w14:textFill>
              </w:rPr>
            </w:pPr>
            <w:r>
              <w:rPr>
                <w:sz w:val="18"/>
              </w:rPr>
              <w:t>通信专业技术人员职业资格、</w:t>
            </w:r>
            <w:r>
              <w:rPr>
                <w:rFonts w:ascii="Times New Roman" w:hAnsi="Times New Roman" w:eastAsia="Times New Roman"/>
                <w:sz w:val="18"/>
              </w:rPr>
              <w:t xml:space="preserve">5G </w:t>
            </w:r>
            <w:r>
              <w:rPr>
                <w:sz w:val="18"/>
              </w:rPr>
              <w:t>移动通信网络部署与运维、</w:t>
            </w:r>
            <w:r>
              <w:rPr>
                <w:rFonts w:ascii="Times New Roman" w:hAnsi="Times New Roman" w:eastAsia="Times New Roman"/>
                <w:sz w:val="18"/>
              </w:rPr>
              <w:t xml:space="preserve">5G </w:t>
            </w:r>
            <w:r>
              <w:rPr>
                <w:sz w:val="18"/>
              </w:rPr>
              <w:t>移动网络运维、</w:t>
            </w:r>
            <w:r>
              <w:rPr>
                <w:rFonts w:ascii="Times New Roman" w:hAnsi="Times New Roman" w:eastAsia="Times New Roman"/>
                <w:sz w:val="18"/>
              </w:rPr>
              <w:t xml:space="preserve">5G </w:t>
            </w:r>
            <w:r>
              <w:rPr>
                <w:sz w:val="18"/>
              </w:rPr>
              <w:t>基站建设与维护</w:t>
            </w:r>
          </w:p>
        </w:tc>
      </w:tr>
    </w:tbl>
    <w:p>
      <w:pPr>
        <w:spacing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val="en-US" w:eastAsia="zh-CN" w:bidi="th-TH"/>
        </w:rPr>
        <w:t>四</w:t>
      </w:r>
      <w:r>
        <w:rPr>
          <w:rFonts w:hint="eastAsia" w:ascii="黑体" w:hAnsi="黑体" w:eastAsia="黑体" w:cs="Angsana New"/>
          <w:bCs/>
          <w:sz w:val="28"/>
          <w:szCs w:val="28"/>
          <w:lang w:bidi="th-TH"/>
        </w:rPr>
        <w:t>、培养目标与</w:t>
      </w:r>
      <w:r>
        <w:rPr>
          <w:rFonts w:ascii="黑体" w:hAnsi="黑体" w:eastAsia="黑体" w:cs="Angsana New"/>
          <w:bCs/>
          <w:sz w:val="28"/>
          <w:szCs w:val="28"/>
          <w:lang w:bidi="th-TH"/>
        </w:rPr>
        <w:t>培养规格</w:t>
      </w:r>
    </w:p>
    <w:p>
      <w:pPr>
        <w:adjustRightInd w:val="0"/>
        <w:snapToGrid w:val="0"/>
        <w:spacing w:line="360" w:lineRule="auto"/>
        <w:ind w:firstLine="480" w:firstLineChars="200"/>
        <w:rPr>
          <w:rFonts w:ascii="宋体" w:hAnsi="宋体" w:cs="Angsana New"/>
          <w:b/>
          <w:bCs/>
          <w:sz w:val="24"/>
          <w:szCs w:val="24"/>
          <w:lang w:bidi="th-TH"/>
        </w:rPr>
      </w:pPr>
      <w:r>
        <w:rPr>
          <w:rFonts w:hint="eastAsia" w:ascii="宋体" w:hAnsi="宋体" w:cs="Angsana New"/>
          <w:b/>
          <w:bCs/>
          <w:sz w:val="24"/>
          <w:szCs w:val="24"/>
          <w:lang w:bidi="th-TH"/>
        </w:rPr>
        <w:t>（一</w:t>
      </w:r>
      <w:r>
        <w:rPr>
          <w:rFonts w:ascii="宋体" w:hAnsi="宋体" w:cs="Angsana New"/>
          <w:b/>
          <w:bCs/>
          <w:sz w:val="24"/>
          <w:szCs w:val="24"/>
          <w:lang w:bidi="th-TH"/>
        </w:rPr>
        <w:t>）</w:t>
      </w:r>
      <w:r>
        <w:rPr>
          <w:rFonts w:hint="eastAsia" w:ascii="宋体" w:hAnsi="宋体" w:cs="Angsana New"/>
          <w:b/>
          <w:bCs/>
          <w:sz w:val="24"/>
          <w:szCs w:val="24"/>
          <w:lang w:bidi="th-TH"/>
        </w:rPr>
        <w:t>培养</w:t>
      </w:r>
      <w:r>
        <w:rPr>
          <w:rFonts w:ascii="宋体" w:hAnsi="宋体" w:cs="Angsana New"/>
          <w:b/>
          <w:bCs/>
          <w:sz w:val="24"/>
          <w:szCs w:val="24"/>
          <w:lang w:bidi="th-TH"/>
        </w:rPr>
        <w:t>目标</w:t>
      </w:r>
    </w:p>
    <w:p>
      <w:pPr>
        <w:adjustRightInd w:val="0"/>
        <w:snapToGrid w:val="0"/>
        <w:spacing w:line="360" w:lineRule="auto"/>
        <w:ind w:firstLine="480" w:firstLineChars="200"/>
        <w:rPr>
          <w:rFonts w:ascii="宋体" w:cs="Angsana New"/>
          <w:color w:val="auto"/>
          <w:sz w:val="24"/>
          <w:szCs w:val="24"/>
          <w:lang w:bidi="th-TH"/>
        </w:rPr>
      </w:pPr>
      <w:r>
        <w:rPr>
          <w:rFonts w:ascii="宋体" w:cs="Angsana New"/>
          <w:color w:val="auto"/>
          <w:sz w:val="24"/>
          <w:szCs w:val="24"/>
          <w:lang w:bidi="th-TH"/>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电信、广播电视和卫星传输服务， 软件和信息技术服务，互联网和相关服务等行业的通信工程技术人员、信息系统运行维护工程技术人员、信息通信网络运行管理员、信息通信信息化系统管理员、物联网工程技术人员、数字化解决方案设计师等职业，能够从事通信工程勘察、设计、施工、监理，移动通信系统基站安装、调测与维护，移动通信网络规划、开通、运维与优化，移动通信网络相关的系统集成、产业数字化转型的移动通信行业客户解决方案实施、营销工作的高技能人才。</w:t>
      </w:r>
    </w:p>
    <w:p>
      <w:pPr>
        <w:adjustRightInd w:val="0"/>
        <w:snapToGrid w:val="0"/>
        <w:spacing w:line="360" w:lineRule="auto"/>
        <w:ind w:firstLine="480" w:firstLineChars="200"/>
        <w:rPr>
          <w:rFonts w:ascii="宋体" w:hAnsi="宋体" w:cs="Angsana New"/>
          <w:b/>
          <w:bCs/>
          <w:sz w:val="24"/>
          <w:szCs w:val="24"/>
          <w:lang w:bidi="th-TH"/>
        </w:rPr>
      </w:pPr>
      <w:r>
        <w:rPr>
          <w:rFonts w:hint="eastAsia" w:ascii="宋体" w:hAnsi="宋体" w:cs="Angsana New"/>
          <w:b/>
          <w:bCs/>
          <w:sz w:val="24"/>
          <w:szCs w:val="24"/>
          <w:lang w:bidi="th-TH"/>
        </w:rPr>
        <w:t>（二）培养规格</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本专业学生应在系统学习本专业知识并完成有关实习实训基础上，全面提升知识、能力、素质，掌握并实际运用岗位（群）需要的专业核心技术技能，实现德智体美劳全面发展，总体上须达到以下要求：</w:t>
      </w:r>
    </w:p>
    <w:p>
      <w:pPr>
        <w:adjustRightInd w:val="0"/>
        <w:snapToGrid w:val="0"/>
        <w:spacing w:line="360" w:lineRule="auto"/>
        <w:ind w:firstLine="480" w:firstLineChars="200"/>
        <w:rPr>
          <w:rFonts w:hint="default" w:ascii="宋体" w:hAnsi="宋体" w:eastAsia="宋体" w:cs="Angsana New"/>
          <w:sz w:val="24"/>
          <w:szCs w:val="24"/>
          <w:lang w:val="en-US" w:eastAsia="zh-CN" w:bidi="th-TH"/>
        </w:rPr>
      </w:pPr>
      <w:r>
        <w:rPr>
          <w:rFonts w:hint="eastAsia" w:ascii="宋体" w:hAnsi="宋体" w:cs="Angsana New"/>
          <w:sz w:val="24"/>
          <w:szCs w:val="24"/>
          <w:lang w:val="en-US" w:eastAsia="zh-CN" w:bidi="th-TH"/>
        </w:rPr>
        <w:t>1.素质要求</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val="en-US" w:eastAsia="zh-CN" w:bidi="th-TH"/>
        </w:rPr>
        <w:t>思想政治要求：</w:t>
      </w:r>
      <w:r>
        <w:rPr>
          <w:rFonts w:hint="eastAsia" w:ascii="宋体" w:hAnsi="宋体" w:cs="Angsana New"/>
          <w:sz w:val="24"/>
          <w:szCs w:val="24"/>
          <w:lang w:bidi="th-TH"/>
        </w:rPr>
        <w:t>热爱社会主义祖国，能够准确理解和把握社会主义核心价值观的深刻内涵和实践要求，具有正确的世界观、人生观、价值观。</w:t>
      </w:r>
      <w:r>
        <w:rPr>
          <w:rFonts w:ascii="宋体" w:hAnsi="宋体" w:cs="Angsana New"/>
          <w:sz w:val="24"/>
          <w:szCs w:val="24"/>
          <w:lang w:bidi="th-TH"/>
        </w:rPr>
        <w:t>坚定拥护中国共产党领导和中国特色社会主义制度，以习近平新时代中国特色社会主义思想为指导，践行社会主义核心价值观，具有坚定的理想信念、深厚的爱国情感和中华民族自豪感；</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2）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（3）掌握支撑本专业学习和可持续发展必备的语文、数学、外语（英语等）、信息技术等文化基础知识，具有良好的人文素养与科学素养，具备职业生涯规划能力；</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（4）具有良好的语言表达能力、文字表达能力、沟通合作能力，具有较强的集体意识和团队合作意识，学习 1 门外语并结合本专业加以运用；</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w:t>
      </w:r>
      <w:r>
        <w:rPr>
          <w:rFonts w:hint="eastAsia" w:ascii="宋体" w:hAnsi="宋体" w:cs="Angsana New"/>
          <w:sz w:val="24"/>
          <w:szCs w:val="24"/>
          <w:lang w:val="en-US" w:eastAsia="zh-CN" w:bidi="th-TH"/>
        </w:rPr>
        <w:t>5</w:t>
      </w:r>
      <w:r>
        <w:rPr>
          <w:rFonts w:ascii="宋体" w:hAnsi="宋体" w:cs="Angsana New"/>
          <w:sz w:val="24"/>
          <w:szCs w:val="24"/>
          <w:lang w:bidi="th-TH"/>
        </w:rPr>
        <w:t>）树立正确的劳动观，尊重劳动，热爱劳动，具备与本专业职业发展相适应的劳动素养，弘扬劳模精神、劳动精神、工匠精神，弘扬劳动光荣、技能宝贵、创造伟大的时代风尚。</w:t>
      </w:r>
    </w:p>
    <w:p>
      <w:pPr>
        <w:adjustRightInd w:val="0"/>
        <w:snapToGrid w:val="0"/>
        <w:spacing w:line="360" w:lineRule="auto"/>
        <w:ind w:firstLine="480" w:firstLineChars="200"/>
        <w:rPr>
          <w:rFonts w:hint="default" w:ascii="宋体" w:hAnsi="宋体" w:eastAsia="宋体" w:cs="Angsana New"/>
          <w:sz w:val="24"/>
          <w:szCs w:val="24"/>
          <w:lang w:val="en-US" w:eastAsia="zh-CN" w:bidi="th-TH"/>
        </w:rPr>
      </w:pPr>
      <w:r>
        <w:rPr>
          <w:rFonts w:hint="eastAsia" w:ascii="宋体" w:hAnsi="宋体" w:cs="Angsana New"/>
          <w:sz w:val="24"/>
          <w:szCs w:val="24"/>
          <w:lang w:val="en-US" w:eastAsia="zh-CN" w:bidi="th-TH"/>
        </w:rPr>
        <w:t>2.知识要求</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w:t>
      </w:r>
      <w:r>
        <w:rPr>
          <w:rFonts w:hint="eastAsia" w:ascii="宋体" w:hAnsi="宋体" w:cs="Angsana New"/>
          <w:sz w:val="24"/>
          <w:szCs w:val="24"/>
          <w:lang w:val="en-US" w:eastAsia="zh-CN" w:bidi="th-TH"/>
        </w:rPr>
        <w:t>1</w:t>
      </w:r>
      <w:r>
        <w:rPr>
          <w:rFonts w:ascii="宋体" w:hAnsi="宋体" w:cs="Angsana New"/>
          <w:sz w:val="24"/>
          <w:szCs w:val="24"/>
          <w:lang w:bidi="th-TH"/>
        </w:rPr>
        <w:t>）掌握最新通信产业发展现状与趋势、现代通信各类系统及网络的组成、结构原理、关键技术、应用和发展，主要包括数字通信、现代信息交换、光纤传输、短距离通信、卫星通信、宽带接入等系统与技术的专业基础理论知识；</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w:t>
      </w:r>
      <w:r>
        <w:rPr>
          <w:rFonts w:hint="eastAsia" w:ascii="宋体" w:hAnsi="宋体" w:cs="Angsana New"/>
          <w:sz w:val="24"/>
          <w:szCs w:val="24"/>
          <w:lang w:val="en-US" w:eastAsia="zh-CN" w:bidi="th-TH"/>
        </w:rPr>
        <w:t>2</w:t>
      </w:r>
      <w:r>
        <w:rPr>
          <w:rFonts w:ascii="宋体" w:hAnsi="宋体" w:cs="Angsana New"/>
          <w:sz w:val="24"/>
          <w:szCs w:val="24"/>
          <w:lang w:bidi="th-TH"/>
        </w:rPr>
        <w:t>）掌握电路基本概念、基本原理、分析方法等方面的专业基础理论知识；</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w:t>
      </w:r>
      <w:r>
        <w:rPr>
          <w:rFonts w:hint="eastAsia" w:ascii="宋体" w:hAnsi="宋体" w:cs="Angsana New"/>
          <w:sz w:val="24"/>
          <w:szCs w:val="24"/>
          <w:lang w:val="en-US" w:eastAsia="zh-CN" w:bidi="th-TH"/>
        </w:rPr>
        <w:t>3</w:t>
      </w:r>
      <w:r>
        <w:rPr>
          <w:rFonts w:ascii="宋体" w:hAnsi="宋体" w:cs="Angsana New"/>
          <w:sz w:val="24"/>
          <w:szCs w:val="24"/>
          <w:lang w:bidi="th-TH"/>
        </w:rPr>
        <w:t>）掌握数字通信系统组成及通信网概念、基带传输系统和频带传输系统组成与工作原理、数字通信技术应用等方面的专业基础理论知识；</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w:t>
      </w:r>
      <w:r>
        <w:rPr>
          <w:rFonts w:hint="eastAsia" w:ascii="宋体" w:hAnsi="宋体" w:cs="Angsana New"/>
          <w:sz w:val="24"/>
          <w:szCs w:val="24"/>
          <w:lang w:val="en-US" w:eastAsia="zh-CN" w:bidi="th-TH"/>
        </w:rPr>
        <w:t>4</w:t>
      </w:r>
      <w:r>
        <w:rPr>
          <w:rFonts w:ascii="宋体" w:hAnsi="宋体" w:cs="Angsana New"/>
          <w:sz w:val="24"/>
          <w:szCs w:val="24"/>
          <w:lang w:bidi="th-TH"/>
        </w:rPr>
        <w:t>）掌握程序设计的基本知识，具备初步的编程技能，具有程序开发、测试、技术支持的能力；</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w:t>
      </w:r>
      <w:r>
        <w:rPr>
          <w:rFonts w:hint="eastAsia" w:ascii="宋体" w:hAnsi="宋体" w:cs="Angsana New"/>
          <w:sz w:val="24"/>
          <w:szCs w:val="24"/>
          <w:lang w:val="en-US" w:eastAsia="zh-CN" w:bidi="th-TH"/>
        </w:rPr>
        <w:t>5</w:t>
      </w:r>
      <w:r>
        <w:rPr>
          <w:rFonts w:ascii="宋体" w:hAnsi="宋体" w:cs="Angsana New"/>
          <w:sz w:val="24"/>
          <w:szCs w:val="24"/>
          <w:lang w:bidi="th-TH"/>
        </w:rPr>
        <w:t>）掌握计算机网络基本原理、数据网络组建、数据网络应用与维护等方面的专业基础理论知识；</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w:t>
      </w:r>
      <w:r>
        <w:rPr>
          <w:rFonts w:hint="eastAsia" w:ascii="宋体" w:hAnsi="宋体" w:cs="Angsana New"/>
          <w:sz w:val="24"/>
          <w:szCs w:val="24"/>
          <w:lang w:val="en-US" w:eastAsia="zh-CN" w:bidi="th-TH"/>
        </w:rPr>
        <w:t>6</w:t>
      </w:r>
      <w:r>
        <w:rPr>
          <w:rFonts w:ascii="宋体" w:hAnsi="宋体" w:cs="Angsana New"/>
          <w:sz w:val="24"/>
          <w:szCs w:val="24"/>
          <w:lang w:bidi="th-TH"/>
        </w:rPr>
        <w:t>）掌握移动通信原理及技术、电波传播及信道模型、主流移动通信系统的关键技术、网络架构和信令流程等方面的专业基础理论知识；</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w:t>
      </w:r>
      <w:r>
        <w:rPr>
          <w:rFonts w:hint="eastAsia" w:ascii="宋体" w:hAnsi="宋体" w:cs="Angsana New"/>
          <w:sz w:val="24"/>
          <w:szCs w:val="24"/>
          <w:lang w:val="en-US" w:eastAsia="zh-CN" w:bidi="th-TH"/>
        </w:rPr>
        <w:t>7</w:t>
      </w:r>
      <w:r>
        <w:rPr>
          <w:rFonts w:ascii="宋体" w:hAnsi="宋体" w:cs="Angsana New"/>
          <w:sz w:val="24"/>
          <w:szCs w:val="24"/>
          <w:lang w:bidi="th-TH"/>
        </w:rPr>
        <w:t>）掌握数据库安装与配置、数据库的类型与约束、数据库的设计与创建等方面的专业基础理论知识；</w:t>
      </w:r>
    </w:p>
    <w:p>
      <w:pPr>
        <w:adjustRightInd w:val="0"/>
        <w:snapToGrid w:val="0"/>
        <w:spacing w:line="360" w:lineRule="auto"/>
        <w:ind w:firstLine="480" w:firstLineChars="200"/>
        <w:rPr>
          <w:rFonts w:hint="default" w:ascii="宋体" w:hAnsi="宋体" w:eastAsia="宋体" w:cs="Angsana New"/>
          <w:sz w:val="24"/>
          <w:szCs w:val="24"/>
          <w:lang w:val="en-US" w:eastAsia="zh-CN" w:bidi="th-TH"/>
        </w:rPr>
      </w:pPr>
      <w:r>
        <w:rPr>
          <w:rFonts w:hint="eastAsia" w:ascii="宋体" w:hAnsi="宋体" w:cs="Angsana New"/>
          <w:sz w:val="24"/>
          <w:szCs w:val="24"/>
          <w:lang w:val="en-US" w:eastAsia="zh-CN" w:bidi="th-TH"/>
        </w:rPr>
        <w:t>3.能力要求</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1）掌握通信工程相关规范、标准和流程知识，初步掌握通信工程图纸绘制、设计文档编写、概预算定额套用及概预算表格编制等技能，具备通信站点工程勘察、设计、施工、监理的能力，初步具备站点工程设计的能力；</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w:t>
      </w:r>
      <w:r>
        <w:rPr>
          <w:rFonts w:hint="eastAsia" w:ascii="宋体" w:hAnsi="宋体" w:cs="Angsana New"/>
          <w:sz w:val="24"/>
          <w:szCs w:val="24"/>
          <w:lang w:val="en-US" w:eastAsia="zh-CN" w:bidi="th-TH"/>
        </w:rPr>
        <w:t>2</w:t>
      </w:r>
      <w:r>
        <w:rPr>
          <w:rFonts w:ascii="宋体" w:hAnsi="宋体" w:cs="Angsana New"/>
          <w:sz w:val="24"/>
          <w:szCs w:val="24"/>
          <w:lang w:bidi="th-TH"/>
        </w:rPr>
        <w:t>）掌握常用移动通信系统基站硬件架构、线缆连接、基站工程建设流程和规范、基站设备验收的流程、基站业务开通步骤、基站例行维护规范等技术技能，具备移动通信基站开通与调测、例行维护、故障处理、工程验收的能力；</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w:t>
      </w:r>
      <w:r>
        <w:rPr>
          <w:rFonts w:hint="eastAsia" w:ascii="宋体" w:hAnsi="宋体" w:cs="Angsana New"/>
          <w:sz w:val="24"/>
          <w:szCs w:val="24"/>
          <w:lang w:val="en-US" w:eastAsia="zh-CN" w:bidi="th-TH"/>
        </w:rPr>
        <w:t>3</w:t>
      </w:r>
      <w:r>
        <w:rPr>
          <w:rFonts w:ascii="宋体" w:hAnsi="宋体" w:cs="Angsana New"/>
          <w:sz w:val="24"/>
          <w:szCs w:val="24"/>
          <w:lang w:bidi="th-TH"/>
        </w:rPr>
        <w:t>）掌握移动通信无线网、核心网、承载网的网络架构、设备对接方式、数据配置方法， 初步掌握从无线侧到核心网的业务规划、开通和调测流程，具备移动通信网络端到端的业务规划、开通及调测能力；</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w:t>
      </w:r>
      <w:r>
        <w:rPr>
          <w:rFonts w:hint="eastAsia" w:ascii="宋体" w:hAnsi="宋体" w:cs="Angsana New"/>
          <w:sz w:val="24"/>
          <w:szCs w:val="24"/>
          <w:lang w:val="en-US" w:eastAsia="zh-CN" w:bidi="th-TH"/>
        </w:rPr>
        <w:t>4</w:t>
      </w:r>
      <w:r>
        <w:rPr>
          <w:rFonts w:ascii="宋体" w:hAnsi="宋体" w:cs="Angsana New"/>
          <w:sz w:val="24"/>
          <w:szCs w:val="24"/>
          <w:lang w:bidi="th-TH"/>
        </w:rPr>
        <w:t>）理解移动网络的无线传播模型，掌握链路预算方法，掌握移动通信网络测试技术， 理解常用网络优化技术及原则，掌握网络优化方案的编写思路和方法，初步具备无线站点覆盖规划、小区无线参数规划的能力，具备移动通信网络测试能力，初步具备无线网络状态分析与优化的实践能力，能够输出简单的网络优化方案；</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w:t>
      </w:r>
      <w:r>
        <w:rPr>
          <w:rFonts w:hint="eastAsia" w:ascii="宋体" w:hAnsi="宋体" w:cs="Angsana New"/>
          <w:sz w:val="24"/>
          <w:szCs w:val="24"/>
          <w:lang w:val="en-US" w:eastAsia="zh-CN" w:bidi="th-TH"/>
        </w:rPr>
        <w:t>5</w:t>
      </w:r>
      <w:r>
        <w:rPr>
          <w:rFonts w:ascii="宋体" w:hAnsi="宋体" w:cs="Angsana New"/>
          <w:sz w:val="24"/>
          <w:szCs w:val="24"/>
          <w:lang w:bidi="th-TH"/>
        </w:rPr>
        <w:t>）理解移动通信网络运维的基本原理，初步掌握运维流程及工具应用方法，初步掌握故障分析及排查方法，具备移动通信网络端到端的日常运维能力，能处理简单的网络故障， 逐步建立自动化运维的思维模式，具备使用智能运维工具分析移动通信网络典型故障问题的能力；</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w:t>
      </w:r>
      <w:r>
        <w:rPr>
          <w:rFonts w:hint="eastAsia" w:ascii="宋体" w:hAnsi="宋体" w:cs="Angsana New"/>
          <w:sz w:val="24"/>
          <w:szCs w:val="24"/>
          <w:lang w:val="en-US" w:eastAsia="zh-CN" w:bidi="th-TH"/>
        </w:rPr>
        <w:t>6</w:t>
      </w:r>
      <w:r>
        <w:rPr>
          <w:rFonts w:ascii="宋体" w:hAnsi="宋体" w:cs="Angsana New"/>
          <w:sz w:val="24"/>
          <w:szCs w:val="24"/>
          <w:lang w:bidi="th-TH"/>
        </w:rPr>
        <w:t>）理解移动通信网络智能应用场景的典型架构及关键技术，初步具备应用场景需求分析、方案设计、智能软硬件及网络系统集成、云服务部署、开通调测等能力，具备针对简单的智能化应用场景（物联网及企业/行业应用场景）进行设计、部署、维护，以及相关方案营销的能力；</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w:t>
      </w:r>
      <w:r>
        <w:rPr>
          <w:rFonts w:hint="eastAsia" w:ascii="宋体" w:hAnsi="宋体" w:cs="Angsana New"/>
          <w:sz w:val="24"/>
          <w:szCs w:val="24"/>
          <w:lang w:val="en-US" w:eastAsia="zh-CN" w:bidi="th-TH"/>
        </w:rPr>
        <w:t>7</w:t>
      </w:r>
      <w:r>
        <w:rPr>
          <w:rFonts w:ascii="宋体" w:hAnsi="宋体" w:cs="Angsana New"/>
          <w:sz w:val="24"/>
          <w:szCs w:val="24"/>
          <w:lang w:bidi="th-TH"/>
        </w:rPr>
        <w:t>）掌握信息技术基础知识，具有适应本行业数字化和智能化发展需求的数字技能；</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w:t>
      </w:r>
      <w:r>
        <w:rPr>
          <w:rFonts w:hint="eastAsia" w:ascii="宋体" w:hAnsi="宋体" w:cs="Angsana New"/>
          <w:sz w:val="24"/>
          <w:szCs w:val="24"/>
          <w:lang w:val="en-US" w:eastAsia="zh-CN" w:bidi="th-TH"/>
        </w:rPr>
        <w:t>8</w:t>
      </w:r>
      <w:r>
        <w:rPr>
          <w:rFonts w:ascii="宋体" w:hAnsi="宋体" w:cs="Angsana New"/>
          <w:sz w:val="24"/>
          <w:szCs w:val="24"/>
          <w:lang w:bidi="th-TH"/>
        </w:rPr>
        <w:t>）具有探究学习、终身学习和可持续发展的能力，具有整合知识和综合运用知识分析问题和解决问题的能力；</w:t>
      </w:r>
    </w:p>
    <w:p>
      <w:pPr>
        <w:adjustRightInd w:val="0"/>
        <w:snapToGrid w:val="0"/>
        <w:spacing w:line="360" w:lineRule="auto"/>
        <w:ind w:firstLine="480" w:firstLineChars="200"/>
        <w:rPr>
          <w:rFonts w:ascii="宋体" w:hAnsi="宋体" w:cs="Angsana New"/>
          <w:sz w:val="24"/>
          <w:szCs w:val="24"/>
          <w:lang w:bidi="th-TH"/>
        </w:rPr>
      </w:pPr>
      <w:r>
        <w:rPr>
          <w:rFonts w:ascii="宋体" w:hAnsi="宋体" w:cs="Angsana New"/>
          <w:sz w:val="24"/>
          <w:szCs w:val="24"/>
          <w:lang w:bidi="th-TH"/>
        </w:rPr>
        <w:t>（</w:t>
      </w:r>
      <w:r>
        <w:rPr>
          <w:rFonts w:hint="eastAsia" w:ascii="宋体" w:hAnsi="宋体" w:cs="Angsana New"/>
          <w:sz w:val="24"/>
          <w:szCs w:val="24"/>
          <w:lang w:val="en-US" w:eastAsia="zh-CN" w:bidi="th-TH"/>
        </w:rPr>
        <w:t>9</w:t>
      </w:r>
      <w:r>
        <w:rPr>
          <w:rFonts w:ascii="宋体" w:hAnsi="宋体" w:cs="Angsana New"/>
          <w:sz w:val="24"/>
          <w:szCs w:val="24"/>
          <w:lang w:bidi="th-TH"/>
        </w:rPr>
        <w:t>）掌握身体运动的基本知识和至少 1 项体育运动技能，达到国家大学生体质健康测试合格标准，养成良好的运动习惯、卫生习惯和行为习惯；具备一定的心理调适能力；</w:t>
      </w:r>
    </w:p>
    <w:p>
      <w:pPr>
        <w:adjustRightInd w:val="0"/>
        <w:snapToGrid w:val="0"/>
        <w:spacing w:line="360" w:lineRule="auto"/>
        <w:ind w:firstLine="480" w:firstLineChars="200"/>
        <w:rPr>
          <w:rFonts w:hint="eastAsia" w:ascii="宋体" w:hAnsi="宋体" w:eastAsia="宋体" w:cs="Angsana New"/>
          <w:sz w:val="24"/>
          <w:szCs w:val="24"/>
          <w:lang w:eastAsia="zh-CN" w:bidi="th-TH"/>
        </w:rPr>
      </w:pPr>
      <w:r>
        <w:rPr>
          <w:rFonts w:ascii="宋体" w:hAnsi="宋体" w:cs="Angsana New"/>
          <w:sz w:val="24"/>
          <w:szCs w:val="24"/>
          <w:lang w:bidi="th-TH"/>
        </w:rPr>
        <w:t>（</w:t>
      </w:r>
      <w:r>
        <w:rPr>
          <w:rFonts w:hint="eastAsia" w:ascii="宋体" w:hAnsi="宋体" w:cs="Angsana New"/>
          <w:sz w:val="24"/>
          <w:szCs w:val="24"/>
          <w:lang w:val="en-US" w:eastAsia="zh-CN" w:bidi="th-TH"/>
        </w:rPr>
        <w:t>10</w:t>
      </w:r>
      <w:r>
        <w:rPr>
          <w:rFonts w:ascii="宋体" w:hAnsi="宋体" w:cs="Angsana New"/>
          <w:sz w:val="24"/>
          <w:szCs w:val="24"/>
          <w:lang w:bidi="th-TH"/>
        </w:rPr>
        <w:t>）掌握必备的美育知识，具有一定的文化修养、审美能力，形成至少 1 项艺术特长或爱好</w:t>
      </w:r>
      <w:r>
        <w:rPr>
          <w:rFonts w:hint="eastAsia" w:ascii="宋体" w:hAnsi="宋体" w:cs="Angsana New"/>
          <w:sz w:val="24"/>
          <w:szCs w:val="24"/>
          <w:lang w:eastAsia="zh-CN" w:bidi="th-TH"/>
        </w:rPr>
        <w:t>。</w:t>
      </w:r>
    </w:p>
    <w:p>
      <w:pPr>
        <w:spacing w:before="156" w:beforeLines="50" w:after="156" w:afterLines="50"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val="en-US" w:eastAsia="zh-CN" w:bidi="th-TH"/>
        </w:rPr>
        <w:t>五</w:t>
      </w:r>
      <w:r>
        <w:rPr>
          <w:rFonts w:hint="eastAsia" w:ascii="黑体" w:hAnsi="黑体" w:eastAsia="黑体" w:cs="Angsana New"/>
          <w:bCs/>
          <w:sz w:val="28"/>
          <w:szCs w:val="28"/>
          <w:lang w:bidi="th-TH"/>
        </w:rPr>
        <w:t>、职业岗位能力分析</w:t>
      </w:r>
    </w:p>
    <w:p>
      <w:pPr>
        <w:adjustRightInd w:val="0"/>
        <w:snapToGrid w:val="0"/>
        <w:spacing w:line="360" w:lineRule="auto"/>
        <w:ind w:left="482"/>
        <w:rPr>
          <w:rFonts w:ascii="宋体" w:hAnsi="宋体" w:cs="Angsana New"/>
          <w:b/>
          <w:bCs/>
          <w:sz w:val="24"/>
          <w:szCs w:val="24"/>
          <w:lang w:bidi="th-TH"/>
        </w:rPr>
      </w:pPr>
      <w:r>
        <w:rPr>
          <w:rFonts w:hint="eastAsia" w:ascii="宋体" w:hAnsi="宋体" w:cs="Angsana New"/>
          <w:b/>
          <w:bCs/>
          <w:sz w:val="24"/>
          <w:szCs w:val="24"/>
          <w:lang w:bidi="th-TH"/>
        </w:rPr>
        <w:t>（一）岗位分析</w:t>
      </w:r>
    </w:p>
    <w:p>
      <w:pPr>
        <w:adjustRightInd w:val="0"/>
        <w:snapToGrid w:val="0"/>
        <w:spacing w:line="360" w:lineRule="auto"/>
        <w:jc w:val="center"/>
        <w:rPr>
          <w:rFonts w:ascii="宋体" w:hAnsi="宋体" w:cs="Angsana New"/>
          <w:b/>
          <w:color w:val="000000" w:themeColor="text1"/>
          <w:szCs w:val="21"/>
          <w:lang w:bidi="th-TH"/>
          <w14:textFill>
            <w14:solidFill>
              <w14:schemeClr w14:val="tx1"/>
            </w14:solidFill>
          </w14:textFill>
        </w:rPr>
      </w:pPr>
      <w:r>
        <w:rPr>
          <w:rFonts w:hint="eastAsia" w:ascii="宋体" w:hAnsi="宋体" w:cs="Angsana New"/>
          <w:b/>
          <w:color w:val="000000" w:themeColor="text1"/>
          <w:szCs w:val="21"/>
          <w:lang w:bidi="th-TH"/>
          <w14:textFill>
            <w14:solidFill>
              <w14:schemeClr w14:val="tx1"/>
            </w14:solidFill>
          </w14:textFill>
        </w:rPr>
        <w:t>表</w:t>
      </w:r>
      <w:r>
        <w:rPr>
          <w:rFonts w:ascii="宋体" w:hAnsi="宋体" w:cs="Angsana New"/>
          <w:b/>
          <w:color w:val="000000" w:themeColor="text1"/>
          <w:szCs w:val="21"/>
          <w:lang w:bidi="th-TH"/>
          <w14:textFill>
            <w14:solidFill>
              <w14:schemeClr w14:val="tx1"/>
            </w14:solidFill>
          </w14:textFill>
        </w:rPr>
        <w:t>2</w:t>
      </w:r>
      <w:r>
        <w:rPr>
          <w:rFonts w:hint="eastAsia" w:ascii="宋体" w:hAnsi="宋体" w:cs="Angsana New"/>
          <w:b/>
          <w:color w:val="000000" w:themeColor="text1"/>
          <w:szCs w:val="21"/>
          <w:lang w:bidi="th-TH"/>
          <w14:textFill>
            <w14:solidFill>
              <w14:schemeClr w14:val="tx1"/>
            </w14:solidFill>
          </w14:textFill>
        </w:rPr>
        <w:t xml:space="preserve">  职业岗位和工作</w:t>
      </w:r>
      <w:r>
        <w:rPr>
          <w:rFonts w:ascii="宋体" w:hAnsi="宋体" w:cs="Angsana New"/>
          <w:b/>
          <w:color w:val="000000" w:themeColor="text1"/>
          <w:szCs w:val="21"/>
          <w:lang w:bidi="th-TH"/>
          <w14:textFill>
            <w14:solidFill>
              <w14:schemeClr w14:val="tx1"/>
            </w14:solidFill>
          </w14:textFill>
        </w:rPr>
        <w:t>任</w:t>
      </w:r>
      <w:r>
        <w:rPr>
          <w:rFonts w:hint="eastAsia" w:ascii="宋体" w:hAnsi="宋体" w:cs="Angsana New"/>
          <w:b/>
          <w:color w:val="000000" w:themeColor="text1"/>
          <w:szCs w:val="21"/>
          <w:lang w:bidi="th-TH"/>
          <w14:textFill>
            <w14:solidFill>
              <w14:schemeClr w14:val="tx1"/>
            </w14:solidFill>
          </w14:textFill>
        </w:rPr>
        <w:t>务</w:t>
      </w:r>
    </w:p>
    <w:tbl>
      <w:tblPr>
        <w:tblStyle w:val="13"/>
        <w:tblW w:w="9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1969"/>
        <w:gridCol w:w="2409"/>
        <w:gridCol w:w="1985"/>
        <w:gridCol w:w="2329"/>
      </w:tblGrid>
      <w:tr>
        <w:trPr>
          <w:trHeight w:val="680" w:hRule="atLeast"/>
          <w:jc w:val="center"/>
        </w:trPr>
        <w:tc>
          <w:tcPr>
            <w:tcW w:w="505" w:type="dxa"/>
            <w:vAlign w:val="center"/>
          </w:tcPr>
          <w:p>
            <w:pPr>
              <w:adjustRightInd w:val="0"/>
              <w:snapToGrid w:val="0"/>
              <w:jc w:val="center"/>
              <w:rPr>
                <w:rFonts w:ascii="宋体"/>
                <w:b/>
                <w:bCs/>
                <w:color w:val="000000" w:themeColor="text1"/>
                <w:kern w:val="0"/>
                <w:szCs w:val="21"/>
                <w14:textFill>
                  <w14:solidFill>
                    <w14:schemeClr w14:val="tx1"/>
                  </w14:solidFill>
                </w14:textFill>
              </w:rPr>
            </w:pPr>
            <w:r>
              <w:rPr>
                <w:rFonts w:hint="eastAsia" w:ascii="宋体" w:hAnsi="宋体"/>
                <w:b/>
                <w:bCs/>
                <w:color w:val="000000" w:themeColor="text1"/>
                <w:kern w:val="0"/>
                <w:szCs w:val="21"/>
                <w14:textFill>
                  <w14:solidFill>
                    <w14:schemeClr w14:val="tx1"/>
                  </w14:solidFill>
                </w14:textFill>
              </w:rPr>
              <w:t>序号</w:t>
            </w:r>
          </w:p>
        </w:tc>
        <w:tc>
          <w:tcPr>
            <w:tcW w:w="1969" w:type="dxa"/>
            <w:vAlign w:val="center"/>
          </w:tcPr>
          <w:p>
            <w:pPr>
              <w:adjustRightInd w:val="0"/>
              <w:snapToGrid w:val="0"/>
              <w:jc w:val="center"/>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职业岗位</w:t>
            </w:r>
          </w:p>
        </w:tc>
        <w:tc>
          <w:tcPr>
            <w:tcW w:w="2409" w:type="dxa"/>
            <w:vAlign w:val="center"/>
          </w:tcPr>
          <w:p>
            <w:pPr>
              <w:adjustRightInd w:val="0"/>
              <w:snapToGrid w:val="0"/>
              <w:jc w:val="center"/>
              <w:rPr>
                <w:rFonts w:ascii="宋体"/>
                <w:b/>
                <w:bCs/>
                <w:color w:val="000000" w:themeColor="text1"/>
                <w:kern w:val="0"/>
                <w:szCs w:val="21"/>
                <w14:textFill>
                  <w14:solidFill>
                    <w14:schemeClr w14:val="tx1"/>
                  </w14:solidFill>
                </w14:textFill>
              </w:rPr>
            </w:pPr>
            <w:r>
              <w:rPr>
                <w:rFonts w:hint="eastAsia" w:ascii="宋体" w:hAnsi="宋体"/>
                <w:b/>
                <w:bCs/>
                <w:color w:val="000000" w:themeColor="text1"/>
                <w:kern w:val="0"/>
                <w:szCs w:val="21"/>
                <w14:textFill>
                  <w14:solidFill>
                    <w14:schemeClr w14:val="tx1"/>
                  </w14:solidFill>
                </w14:textFill>
              </w:rPr>
              <w:t>典型工作任务</w:t>
            </w:r>
          </w:p>
        </w:tc>
        <w:tc>
          <w:tcPr>
            <w:tcW w:w="1985" w:type="dxa"/>
            <w:vAlign w:val="center"/>
          </w:tcPr>
          <w:p>
            <w:pPr>
              <w:adjustRightInd w:val="0"/>
              <w:snapToGrid w:val="0"/>
              <w:jc w:val="center"/>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核心技能</w:t>
            </w:r>
          </w:p>
        </w:tc>
        <w:tc>
          <w:tcPr>
            <w:tcW w:w="2329" w:type="dxa"/>
            <w:vAlign w:val="center"/>
          </w:tcPr>
          <w:p>
            <w:pPr>
              <w:adjustRightInd w:val="0"/>
              <w:snapToGrid w:val="0"/>
              <w:jc w:val="center"/>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主要教学内容</w:t>
            </w:r>
          </w:p>
        </w:tc>
      </w:tr>
      <w:tr>
        <w:trPr>
          <w:trHeight w:val="454" w:hRule="atLeast"/>
          <w:jc w:val="center"/>
        </w:trPr>
        <w:tc>
          <w:tcPr>
            <w:tcW w:w="505" w:type="dxa"/>
            <w:vAlign w:val="center"/>
          </w:tcPr>
          <w:p>
            <w:pPr>
              <w:adjustRightInd w:val="0"/>
              <w:snapToGrid w:val="0"/>
              <w:jc w:val="center"/>
              <w:rPr>
                <w:rFonts w:ascii="宋体"/>
                <w:color w:val="000000" w:themeColor="text1"/>
                <w:kern w:val="0"/>
                <w:szCs w:val="21"/>
                <w14:textFill>
                  <w14:solidFill>
                    <w14:schemeClr w14:val="tx1"/>
                  </w14:solidFill>
                </w14:textFill>
              </w:rPr>
            </w:pPr>
            <w:r>
              <w:rPr>
                <w:rFonts w:ascii="宋体"/>
                <w:color w:val="000000" w:themeColor="text1"/>
                <w:kern w:val="0"/>
                <w:szCs w:val="21"/>
                <w14:textFill>
                  <w14:solidFill>
                    <w14:schemeClr w14:val="tx1"/>
                  </w14:solidFill>
                </w14:textFill>
              </w:rPr>
              <w:t>1</w:t>
            </w:r>
          </w:p>
        </w:tc>
        <w:tc>
          <w:tcPr>
            <w:tcW w:w="1969" w:type="dxa"/>
            <w:vAlign w:val="center"/>
          </w:tcPr>
          <w:p>
            <w:pPr>
              <w:adjustRightInd w:val="0"/>
              <w:snapToGrid w:val="0"/>
              <w:jc w:val="center"/>
              <w:rPr>
                <w:rFonts w:ascii="宋体"/>
                <w:color w:val="000000" w:themeColor="text1"/>
                <w:kern w:val="0"/>
                <w:szCs w:val="21"/>
                <w14:textFill>
                  <w14:solidFill>
                    <w14:schemeClr w14:val="tx1"/>
                  </w14:solidFill>
                </w14:textFill>
              </w:rPr>
            </w:pPr>
            <w:r>
              <w:rPr>
                <w:rFonts w:hint="eastAsia" w:ascii="宋体"/>
                <w:color w:val="000000" w:themeColor="text1"/>
                <w:kern w:val="0"/>
                <w:szCs w:val="21"/>
                <w14:textFill>
                  <w14:solidFill>
                    <w14:schemeClr w14:val="tx1"/>
                  </w14:solidFill>
                </w14:textFill>
              </w:rPr>
              <w:t>网络设备维护</w:t>
            </w:r>
          </w:p>
        </w:tc>
        <w:tc>
          <w:tcPr>
            <w:tcW w:w="2409" w:type="dxa"/>
            <w:vAlign w:val="center"/>
          </w:tcPr>
          <w:p>
            <w:pPr>
              <w:adjustRightInd w:val="0"/>
              <w:snapToGrid w:val="0"/>
              <w:rPr>
                <w:rFonts w:ascii="宋体"/>
                <w:color w:val="000000" w:themeColor="text1"/>
                <w:kern w:val="0"/>
                <w:szCs w:val="21"/>
                <w14:textFill>
                  <w14:solidFill>
                    <w14:schemeClr w14:val="tx1"/>
                  </w14:solidFill>
                </w14:textFill>
              </w:rPr>
            </w:pPr>
            <w:r>
              <w:rPr>
                <w:color w:val="000000" w:themeColor="text1"/>
                <w:szCs w:val="21"/>
                <w14:textFill>
                  <w14:solidFill>
                    <w14:schemeClr w14:val="tx1"/>
                  </w14:solidFill>
                </w14:textFill>
              </w:rPr>
              <w:t>1.</w:t>
            </w:r>
            <w:r>
              <w:rPr>
                <w:rFonts w:hint="eastAsia"/>
                <w:color w:val="000000" w:themeColor="text1"/>
                <w:szCs w:val="21"/>
                <w14:textFill>
                  <w14:solidFill>
                    <w14:schemeClr w14:val="tx1"/>
                  </w14:solidFill>
                </w14:textFill>
              </w:rPr>
              <w:t>家庭（集团）客户网络维护；</w:t>
            </w: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运营商网络设备维护</w:t>
            </w:r>
          </w:p>
        </w:tc>
        <w:tc>
          <w:tcPr>
            <w:tcW w:w="1985" w:type="dxa"/>
            <w:vAlign w:val="center"/>
          </w:tcPr>
          <w:p>
            <w:pPr>
              <w:adjustRightInd w:val="0"/>
              <w:snapToGrid w:val="0"/>
              <w:rPr>
                <w:rFonts w:ascii="宋体"/>
                <w:color w:val="000000" w:themeColor="text1"/>
                <w:szCs w:val="21"/>
                <w14:textFill>
                  <w14:solidFill>
                    <w14:schemeClr w14:val="tx1"/>
                  </w14:solidFill>
                </w14:textFill>
              </w:rPr>
            </w:pPr>
            <w:r>
              <w:rPr>
                <w:color w:val="000000" w:themeColor="text1"/>
                <w:szCs w:val="21"/>
                <w14:textFill>
                  <w14:solidFill>
                    <w14:schemeClr w14:val="tx1"/>
                  </w14:solidFill>
                </w14:textFill>
              </w:rPr>
              <w:t>1.</w:t>
            </w:r>
            <w:r>
              <w:rPr>
                <w:rFonts w:hint="eastAsia"/>
                <w:color w:val="000000" w:themeColor="text1"/>
                <w:szCs w:val="21"/>
                <w14:textFill>
                  <w14:solidFill>
                    <w14:schemeClr w14:val="tx1"/>
                  </w14:solidFill>
                </w14:textFill>
              </w:rPr>
              <w:t>仪器仪表的使用；</w:t>
            </w: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故障诊断</w:t>
            </w:r>
          </w:p>
        </w:tc>
        <w:tc>
          <w:tcPr>
            <w:tcW w:w="2329" w:type="dxa"/>
            <w:vAlign w:val="center"/>
          </w:tcPr>
          <w:p>
            <w:pPr>
              <w:adjustRightInd w:val="0"/>
              <w:snapToGrid w:val="0"/>
              <w:rPr>
                <w:rFonts w:ascii="宋体"/>
                <w:color w:val="000000" w:themeColor="text1"/>
                <w:kern w:val="0"/>
                <w:szCs w:val="21"/>
                <w14:textFill>
                  <w14:solidFill>
                    <w14:schemeClr w14:val="tx1"/>
                  </w14:solidFill>
                </w14:textFill>
              </w:rPr>
            </w:pPr>
            <w:r>
              <w:rPr>
                <w:color w:val="000000" w:themeColor="text1"/>
                <w:szCs w:val="21"/>
                <w14:textFill>
                  <w14:solidFill>
                    <w14:schemeClr w14:val="tx1"/>
                  </w14:solidFill>
                </w14:textFill>
              </w:rPr>
              <w:t>1.</w:t>
            </w:r>
            <w:r>
              <w:rPr>
                <w:rFonts w:hint="eastAsia"/>
                <w:color w:val="000000" w:themeColor="text1"/>
                <w:szCs w:val="21"/>
                <w14:textFill>
                  <w14:solidFill>
                    <w14:schemeClr w14:val="tx1"/>
                  </w14:solidFill>
                </w14:textFill>
              </w:rPr>
              <w:t>计算机网络技术；</w:t>
            </w: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通信基本理论；</w:t>
            </w:r>
            <w:r>
              <w:rPr>
                <w:color w:val="000000" w:themeColor="text1"/>
                <w:szCs w:val="21"/>
                <w14:textFill>
                  <w14:solidFill>
                    <w14:schemeClr w14:val="tx1"/>
                  </w14:solidFill>
                </w14:textFill>
              </w:rPr>
              <w:t>3.</w:t>
            </w:r>
            <w:r>
              <w:rPr>
                <w:rFonts w:hint="eastAsia"/>
                <w:color w:val="000000" w:themeColor="text1"/>
                <w:szCs w:val="21"/>
                <w14:textFill>
                  <w14:solidFill>
                    <w14:schemeClr w14:val="tx1"/>
                  </w14:solidFill>
                </w14:textFill>
              </w:rPr>
              <w:t>通信仪表仪器的基本使用</w:t>
            </w:r>
          </w:p>
        </w:tc>
      </w:tr>
      <w:tr>
        <w:trPr>
          <w:trHeight w:val="454" w:hRule="atLeast"/>
          <w:jc w:val="center"/>
        </w:trPr>
        <w:tc>
          <w:tcPr>
            <w:tcW w:w="505" w:type="dxa"/>
            <w:vAlign w:val="center"/>
          </w:tcPr>
          <w:p>
            <w:pPr>
              <w:adjustRightInd w:val="0"/>
              <w:snapToGrid w:val="0"/>
              <w:jc w:val="center"/>
              <w:rPr>
                <w:rFonts w:ascii="宋体"/>
                <w:color w:val="000000" w:themeColor="text1"/>
                <w:kern w:val="0"/>
                <w:szCs w:val="21"/>
                <w14:textFill>
                  <w14:solidFill>
                    <w14:schemeClr w14:val="tx1"/>
                  </w14:solidFill>
                </w14:textFill>
              </w:rPr>
            </w:pPr>
            <w:r>
              <w:rPr>
                <w:rFonts w:ascii="宋体"/>
                <w:color w:val="000000" w:themeColor="text1"/>
                <w:kern w:val="0"/>
                <w:szCs w:val="21"/>
                <w14:textFill>
                  <w14:solidFill>
                    <w14:schemeClr w14:val="tx1"/>
                  </w14:solidFill>
                </w14:textFill>
              </w:rPr>
              <w:t>2</w:t>
            </w:r>
          </w:p>
        </w:tc>
        <w:tc>
          <w:tcPr>
            <w:tcW w:w="1969" w:type="dxa"/>
            <w:vAlign w:val="center"/>
          </w:tcPr>
          <w:p>
            <w:pPr>
              <w:adjustRightInd w:val="0"/>
              <w:snapToGrid w:val="0"/>
              <w:jc w:val="center"/>
              <w:rPr>
                <w:rFonts w:ascii="宋体"/>
                <w:color w:val="000000" w:themeColor="text1"/>
                <w:kern w:val="0"/>
                <w:szCs w:val="21"/>
                <w14:textFill>
                  <w14:solidFill>
                    <w14:schemeClr w14:val="tx1"/>
                  </w14:solidFill>
                </w14:textFill>
              </w:rPr>
            </w:pPr>
            <w:r>
              <w:rPr>
                <w:rFonts w:hint="eastAsia" w:ascii="宋体"/>
                <w:color w:val="000000" w:themeColor="text1"/>
                <w:kern w:val="0"/>
                <w:szCs w:val="21"/>
                <w14:textFill>
                  <w14:solidFill>
                    <w14:schemeClr w14:val="tx1"/>
                  </w14:solidFill>
                </w14:textFill>
              </w:rPr>
              <w:t>客户服务顾问</w:t>
            </w:r>
          </w:p>
        </w:tc>
        <w:tc>
          <w:tcPr>
            <w:tcW w:w="2409" w:type="dxa"/>
            <w:vAlign w:val="center"/>
          </w:tcPr>
          <w:p>
            <w:pPr>
              <w:adjustRightInd w:val="0"/>
              <w:snapToGrid w:val="0"/>
              <w:rPr>
                <w:rFonts w:ascii="宋体"/>
                <w:color w:val="000000" w:themeColor="text1"/>
                <w:kern w:val="0"/>
                <w:szCs w:val="21"/>
                <w14:textFill>
                  <w14:solidFill>
                    <w14:schemeClr w14:val="tx1"/>
                  </w14:solidFill>
                </w14:textFill>
              </w:rPr>
            </w:pPr>
            <w:r>
              <w:rPr>
                <w:rFonts w:ascii="宋体"/>
                <w:color w:val="000000" w:themeColor="text1"/>
                <w:kern w:val="0"/>
                <w:szCs w:val="21"/>
                <w14:textFill>
                  <w14:solidFill>
                    <w14:schemeClr w14:val="tx1"/>
                  </w14:solidFill>
                </w14:textFill>
              </w:rPr>
              <w:t>1.</w:t>
            </w:r>
            <w:r>
              <w:rPr>
                <w:rFonts w:hint="eastAsia" w:ascii="宋体"/>
                <w:color w:val="000000" w:themeColor="text1"/>
                <w:kern w:val="0"/>
                <w:szCs w:val="21"/>
                <w14:textFill>
                  <w14:solidFill>
                    <w14:schemeClr w14:val="tx1"/>
                  </w14:solidFill>
                </w14:textFill>
              </w:rPr>
              <w:t>为客户提供售前咨询；</w:t>
            </w:r>
            <w:r>
              <w:rPr>
                <w:rFonts w:ascii="宋体"/>
                <w:color w:val="000000" w:themeColor="text1"/>
                <w:kern w:val="0"/>
                <w:szCs w:val="21"/>
                <w14:textFill>
                  <w14:solidFill>
                    <w14:schemeClr w14:val="tx1"/>
                  </w14:solidFill>
                </w14:textFill>
              </w:rPr>
              <w:t>2.</w:t>
            </w:r>
            <w:r>
              <w:rPr>
                <w:rFonts w:hint="eastAsia" w:ascii="宋体"/>
                <w:color w:val="000000" w:themeColor="text1"/>
                <w:kern w:val="0"/>
                <w:szCs w:val="21"/>
                <w14:textFill>
                  <w14:solidFill>
                    <w14:schemeClr w14:val="tx1"/>
                  </w14:solidFill>
                </w14:textFill>
              </w:rPr>
              <w:t>为客户提供售后咨询、投诉</w:t>
            </w:r>
          </w:p>
        </w:tc>
        <w:tc>
          <w:tcPr>
            <w:tcW w:w="1985" w:type="dxa"/>
            <w:vAlign w:val="center"/>
          </w:tcPr>
          <w:p>
            <w:pPr>
              <w:adjustRightInd w:val="0"/>
              <w:snapToGrid w:val="0"/>
              <w:rPr>
                <w:rFonts w:ascii="宋体"/>
                <w:color w:val="000000" w:themeColor="text1"/>
                <w:szCs w:val="21"/>
                <w14:textFill>
                  <w14:solidFill>
                    <w14:schemeClr w14:val="tx1"/>
                  </w14:solidFill>
                </w14:textFill>
              </w:rPr>
            </w:pPr>
            <w:r>
              <w:rPr>
                <w:rFonts w:ascii="宋体"/>
                <w:color w:val="000000" w:themeColor="text1"/>
                <w:szCs w:val="21"/>
                <w14:textFill>
                  <w14:solidFill>
                    <w14:schemeClr w14:val="tx1"/>
                  </w14:solidFill>
                </w14:textFill>
              </w:rPr>
              <w:t>1.</w:t>
            </w:r>
            <w:r>
              <w:rPr>
                <w:rFonts w:hint="eastAsia" w:ascii="宋体"/>
                <w:color w:val="000000" w:themeColor="text1"/>
                <w:szCs w:val="21"/>
                <w14:textFill>
                  <w14:solidFill>
                    <w14:schemeClr w14:val="tx1"/>
                  </w14:solidFill>
                </w14:textFill>
              </w:rPr>
              <w:t>沟通交流能力；</w:t>
            </w:r>
            <w:r>
              <w:rPr>
                <w:rFonts w:ascii="宋体"/>
                <w:color w:val="000000" w:themeColor="text1"/>
                <w:szCs w:val="21"/>
                <w14:textFill>
                  <w14:solidFill>
                    <w14:schemeClr w14:val="tx1"/>
                  </w14:solidFill>
                </w14:textFill>
              </w:rPr>
              <w:t>2.</w:t>
            </w:r>
            <w:r>
              <w:rPr>
                <w:rFonts w:hint="eastAsia" w:ascii="宋体"/>
                <w:color w:val="000000" w:themeColor="text1"/>
                <w:szCs w:val="21"/>
                <w14:textFill>
                  <w14:solidFill>
                    <w14:schemeClr w14:val="tx1"/>
                  </w14:solidFill>
                </w14:textFill>
              </w:rPr>
              <w:t>移动通信基本知识</w:t>
            </w:r>
          </w:p>
        </w:tc>
        <w:tc>
          <w:tcPr>
            <w:tcW w:w="2329" w:type="dxa"/>
            <w:vAlign w:val="center"/>
          </w:tcPr>
          <w:p>
            <w:pPr>
              <w:adjustRightInd w:val="0"/>
              <w:snapToGrid w:val="0"/>
              <w:rPr>
                <w:rFonts w:ascii="宋体"/>
                <w:color w:val="000000" w:themeColor="text1"/>
                <w:szCs w:val="21"/>
                <w14:textFill>
                  <w14:solidFill>
                    <w14:schemeClr w14:val="tx1"/>
                  </w14:solidFill>
                </w14:textFill>
              </w:rPr>
            </w:pPr>
            <w:r>
              <w:rPr>
                <w:rFonts w:ascii="宋体"/>
                <w:color w:val="000000" w:themeColor="text1"/>
                <w:szCs w:val="21"/>
                <w14:textFill>
                  <w14:solidFill>
                    <w14:schemeClr w14:val="tx1"/>
                  </w14:solidFill>
                </w14:textFill>
              </w:rPr>
              <w:t>1.</w:t>
            </w:r>
            <w:r>
              <w:rPr>
                <w:rFonts w:hint="eastAsia" w:ascii="宋体"/>
                <w:color w:val="000000" w:themeColor="text1"/>
                <w:szCs w:val="21"/>
                <w14:textFill>
                  <w14:solidFill>
                    <w14:schemeClr w14:val="tx1"/>
                  </w14:solidFill>
                </w14:textFill>
              </w:rPr>
              <w:t>消费心理学与行为学；</w:t>
            </w:r>
            <w:r>
              <w:rPr>
                <w:rFonts w:ascii="宋体"/>
                <w:color w:val="000000" w:themeColor="text1"/>
                <w:szCs w:val="21"/>
                <w14:textFill>
                  <w14:solidFill>
                    <w14:schemeClr w14:val="tx1"/>
                  </w14:solidFill>
                </w14:textFill>
              </w:rPr>
              <w:t>2</w:t>
            </w:r>
            <w:r>
              <w:rPr>
                <w:rFonts w:hint="eastAsia" w:ascii="宋体"/>
                <w:color w:val="000000" w:themeColor="text1"/>
                <w:szCs w:val="21"/>
                <w14:textFill>
                  <w14:solidFill>
                    <w14:schemeClr w14:val="tx1"/>
                  </w14:solidFill>
                </w14:textFill>
              </w:rPr>
              <w:t>.市场营销</w:t>
            </w:r>
          </w:p>
        </w:tc>
      </w:tr>
      <w:tr>
        <w:trPr>
          <w:trHeight w:val="454" w:hRule="atLeast"/>
          <w:jc w:val="center"/>
        </w:trPr>
        <w:tc>
          <w:tcPr>
            <w:tcW w:w="505" w:type="dxa"/>
            <w:vAlign w:val="center"/>
          </w:tcPr>
          <w:p>
            <w:pPr>
              <w:adjustRightInd w:val="0"/>
              <w:snapToGrid w:val="0"/>
              <w:jc w:val="center"/>
              <w:rPr>
                <w:rFonts w:ascii="宋体"/>
                <w:color w:val="000000" w:themeColor="text1"/>
                <w:kern w:val="0"/>
                <w:szCs w:val="21"/>
                <w14:textFill>
                  <w14:solidFill>
                    <w14:schemeClr w14:val="tx1"/>
                  </w14:solidFill>
                </w14:textFill>
              </w:rPr>
            </w:pPr>
            <w:r>
              <w:rPr>
                <w:rFonts w:ascii="宋体"/>
                <w:color w:val="000000" w:themeColor="text1"/>
                <w:kern w:val="0"/>
                <w:szCs w:val="21"/>
                <w14:textFill>
                  <w14:solidFill>
                    <w14:schemeClr w14:val="tx1"/>
                  </w14:solidFill>
                </w14:textFill>
              </w:rPr>
              <w:t>3</w:t>
            </w:r>
          </w:p>
        </w:tc>
        <w:tc>
          <w:tcPr>
            <w:tcW w:w="1969" w:type="dxa"/>
            <w:vAlign w:val="center"/>
          </w:tcPr>
          <w:p>
            <w:pPr>
              <w:adjustRightInd w:val="0"/>
              <w:snapToGrid w:val="0"/>
              <w:jc w:val="center"/>
              <w:rPr>
                <w:rFonts w:ascii="宋体"/>
                <w:color w:val="000000" w:themeColor="text1"/>
                <w:kern w:val="0"/>
                <w:szCs w:val="21"/>
                <w14:textFill>
                  <w14:solidFill>
                    <w14:schemeClr w14:val="tx1"/>
                  </w14:solidFill>
                </w14:textFill>
              </w:rPr>
            </w:pPr>
            <w:r>
              <w:rPr>
                <w:rFonts w:hint="eastAsia" w:ascii="宋体"/>
                <w:color w:val="000000" w:themeColor="text1"/>
                <w:kern w:val="0"/>
                <w:szCs w:val="21"/>
                <w14:textFill>
                  <w14:solidFill>
                    <w14:schemeClr w14:val="tx1"/>
                  </w14:solidFill>
                </w14:textFill>
              </w:rPr>
              <w:t>无线网优化</w:t>
            </w:r>
          </w:p>
        </w:tc>
        <w:tc>
          <w:tcPr>
            <w:tcW w:w="2409" w:type="dxa"/>
            <w:vAlign w:val="center"/>
          </w:tcPr>
          <w:p>
            <w:pPr>
              <w:adjustRightInd w:val="0"/>
              <w:snapToGrid w:val="0"/>
              <w:rPr>
                <w:rFonts w:ascii="宋体"/>
                <w:color w:val="000000" w:themeColor="text1"/>
                <w:kern w:val="0"/>
                <w:szCs w:val="21"/>
                <w14:textFill>
                  <w14:solidFill>
                    <w14:schemeClr w14:val="tx1"/>
                  </w14:solidFill>
                </w14:textFill>
              </w:rPr>
            </w:pPr>
            <w:r>
              <w:rPr>
                <w:rFonts w:hint="eastAsia" w:ascii="宋体"/>
                <w:color w:val="000000" w:themeColor="text1"/>
                <w:kern w:val="0"/>
                <w:szCs w:val="21"/>
                <w14:textFill>
                  <w14:solidFill>
                    <w14:schemeClr w14:val="tx1"/>
                  </w14:solidFill>
                </w14:textFill>
              </w:rPr>
              <w:t>运营商移动网络参数调整</w:t>
            </w:r>
          </w:p>
        </w:tc>
        <w:tc>
          <w:tcPr>
            <w:tcW w:w="1985" w:type="dxa"/>
            <w:vAlign w:val="center"/>
          </w:tcPr>
          <w:p>
            <w:pPr>
              <w:adjustRightInd w:val="0"/>
              <w:snapToGrid w:val="0"/>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r>
              <w:rPr>
                <w:rFonts w:hint="eastAsia"/>
                <w:color w:val="000000" w:themeColor="text1"/>
                <w:szCs w:val="21"/>
                <w14:textFill>
                  <w14:solidFill>
                    <w14:schemeClr w14:val="tx1"/>
                  </w14:solidFill>
                </w14:textFill>
              </w:rPr>
              <w:t>仪器仪表使用；</w:t>
            </w: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图纸识别；</w:t>
            </w:r>
            <w:r>
              <w:rPr>
                <w:color w:val="000000" w:themeColor="text1"/>
                <w:szCs w:val="21"/>
                <w14:textFill>
                  <w14:solidFill>
                    <w14:schemeClr w14:val="tx1"/>
                  </w14:solidFill>
                </w14:textFill>
              </w:rPr>
              <w:t>3.</w:t>
            </w:r>
            <w:r>
              <w:rPr>
                <w:rFonts w:hint="eastAsia"/>
                <w:color w:val="000000" w:themeColor="text1"/>
                <w:szCs w:val="21"/>
                <w14:textFill>
                  <w14:solidFill>
                    <w14:schemeClr w14:val="tx1"/>
                  </w14:solidFill>
                </w14:textFill>
              </w:rPr>
              <w:t>常用工具的使用</w:t>
            </w:r>
          </w:p>
        </w:tc>
        <w:tc>
          <w:tcPr>
            <w:tcW w:w="2329" w:type="dxa"/>
            <w:vAlign w:val="center"/>
          </w:tcPr>
          <w:p>
            <w:pPr>
              <w:adjustRightInd w:val="0"/>
              <w:snapToGrid w:val="0"/>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r>
              <w:rPr>
                <w:rFonts w:hint="eastAsia"/>
                <w:color w:val="000000" w:themeColor="text1"/>
                <w:szCs w:val="21"/>
                <w14:textFill>
                  <w14:solidFill>
                    <w14:schemeClr w14:val="tx1"/>
                  </w14:solidFill>
                </w14:textFill>
              </w:rPr>
              <w:t>通信工程制图；</w:t>
            </w: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电装实习</w:t>
            </w:r>
          </w:p>
        </w:tc>
      </w:tr>
      <w:tr>
        <w:trPr>
          <w:trHeight w:val="454" w:hRule="atLeast"/>
          <w:jc w:val="center"/>
        </w:trPr>
        <w:tc>
          <w:tcPr>
            <w:tcW w:w="505" w:type="dxa"/>
            <w:vAlign w:val="center"/>
          </w:tcPr>
          <w:p>
            <w:pPr>
              <w:adjustRightInd w:val="0"/>
              <w:snapToGrid w:val="0"/>
              <w:jc w:val="center"/>
              <w:rPr>
                <w:rFonts w:ascii="宋体"/>
                <w:color w:val="000000" w:themeColor="text1"/>
                <w:kern w:val="0"/>
                <w:szCs w:val="21"/>
                <w14:textFill>
                  <w14:solidFill>
                    <w14:schemeClr w14:val="tx1"/>
                  </w14:solidFill>
                </w14:textFill>
              </w:rPr>
            </w:pPr>
            <w:r>
              <w:rPr>
                <w:rFonts w:ascii="宋体"/>
                <w:color w:val="000000" w:themeColor="text1"/>
                <w:kern w:val="0"/>
                <w:szCs w:val="21"/>
                <w14:textFill>
                  <w14:solidFill>
                    <w14:schemeClr w14:val="tx1"/>
                  </w14:solidFill>
                </w14:textFill>
              </w:rPr>
              <w:t>4</w:t>
            </w:r>
          </w:p>
        </w:tc>
        <w:tc>
          <w:tcPr>
            <w:tcW w:w="1969" w:type="dxa"/>
            <w:vAlign w:val="center"/>
          </w:tcPr>
          <w:p>
            <w:pPr>
              <w:adjustRightInd w:val="0"/>
              <w:snapToGrid w:val="0"/>
              <w:jc w:val="center"/>
              <w:rPr>
                <w:rFonts w:ascii="宋体"/>
                <w:color w:val="000000" w:themeColor="text1"/>
                <w:kern w:val="0"/>
                <w:szCs w:val="21"/>
                <w14:textFill>
                  <w14:solidFill>
                    <w14:schemeClr w14:val="tx1"/>
                  </w14:solidFill>
                </w14:textFill>
              </w:rPr>
            </w:pPr>
            <w:r>
              <w:rPr>
                <w:rFonts w:hint="eastAsia" w:ascii="宋体"/>
                <w:color w:val="000000" w:themeColor="text1"/>
                <w:kern w:val="0"/>
                <w:szCs w:val="21"/>
                <w14:textFill>
                  <w14:solidFill>
                    <w14:schemeClr w14:val="tx1"/>
                  </w14:solidFill>
                </w14:textFill>
              </w:rPr>
              <w:t>产品经理</w:t>
            </w:r>
          </w:p>
        </w:tc>
        <w:tc>
          <w:tcPr>
            <w:tcW w:w="2409" w:type="dxa"/>
            <w:vAlign w:val="center"/>
          </w:tcPr>
          <w:p>
            <w:pPr>
              <w:adjustRightInd w:val="0"/>
              <w:snapToGrid w:val="0"/>
              <w:rPr>
                <w:color w:val="000000" w:themeColor="text1"/>
                <w:szCs w:val="21"/>
                <w14:textFill>
                  <w14:solidFill>
                    <w14:schemeClr w14:val="tx1"/>
                  </w14:solidFill>
                </w14:textFill>
              </w:rPr>
            </w:pPr>
            <w:r>
              <w:rPr>
                <w:rFonts w:ascii="宋体"/>
                <w:color w:val="000000" w:themeColor="text1"/>
                <w:kern w:val="0"/>
                <w:szCs w:val="21"/>
                <w14:textFill>
                  <w14:solidFill>
                    <w14:schemeClr w14:val="tx1"/>
                  </w14:solidFill>
                </w14:textFill>
              </w:rPr>
              <w:t>1.</w:t>
            </w:r>
            <w:r>
              <w:rPr>
                <w:rFonts w:hint="eastAsia" w:ascii="宋体"/>
                <w:color w:val="000000" w:themeColor="text1"/>
                <w:kern w:val="0"/>
                <w:szCs w:val="21"/>
                <w14:textFill>
                  <w14:solidFill>
                    <w14:schemeClr w14:val="tx1"/>
                  </w14:solidFill>
                </w14:textFill>
              </w:rPr>
              <w:t>产品推介；</w:t>
            </w:r>
            <w:r>
              <w:rPr>
                <w:rFonts w:ascii="宋体"/>
                <w:color w:val="000000" w:themeColor="text1"/>
                <w:kern w:val="0"/>
                <w:szCs w:val="21"/>
                <w14:textFill>
                  <w14:solidFill>
                    <w14:schemeClr w14:val="tx1"/>
                  </w14:solidFill>
                </w14:textFill>
              </w:rPr>
              <w:t>2.</w:t>
            </w:r>
            <w:r>
              <w:rPr>
                <w:rFonts w:hint="eastAsia" w:ascii="宋体"/>
                <w:color w:val="000000" w:themeColor="text1"/>
                <w:kern w:val="0"/>
                <w:szCs w:val="21"/>
                <w14:textFill>
                  <w14:solidFill>
                    <w14:schemeClr w14:val="tx1"/>
                  </w14:solidFill>
                </w14:textFill>
              </w:rPr>
              <w:t>产品售后跟踪</w:t>
            </w:r>
          </w:p>
        </w:tc>
        <w:tc>
          <w:tcPr>
            <w:tcW w:w="1985" w:type="dxa"/>
            <w:vAlign w:val="center"/>
          </w:tcPr>
          <w:p>
            <w:pPr>
              <w:adjustRightInd w:val="0"/>
              <w:snapToGrid w:val="0"/>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r>
              <w:rPr>
                <w:rFonts w:hint="eastAsia"/>
                <w:color w:val="000000" w:themeColor="text1"/>
                <w:szCs w:val="21"/>
                <w14:textFill>
                  <w14:solidFill>
                    <w14:schemeClr w14:val="tx1"/>
                  </w14:solidFill>
                </w14:textFill>
              </w:rPr>
              <w:t>沟通、交流；</w:t>
            </w: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数据分析</w:t>
            </w:r>
          </w:p>
        </w:tc>
        <w:tc>
          <w:tcPr>
            <w:tcW w:w="2329" w:type="dxa"/>
            <w:vAlign w:val="center"/>
          </w:tcPr>
          <w:p>
            <w:pPr>
              <w:adjustRightInd w:val="0"/>
              <w:snapToGrid w:val="0"/>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r>
              <w:rPr>
                <w:rFonts w:hint="eastAsia"/>
                <w:color w:val="000000" w:themeColor="text1"/>
                <w:szCs w:val="21"/>
                <w14:textFill>
                  <w14:solidFill>
                    <w14:schemeClr w14:val="tx1"/>
                  </w14:solidFill>
                </w14:textFill>
              </w:rPr>
              <w:t>CRM；</w:t>
            </w:r>
            <w:r>
              <w:rPr>
                <w:color w:val="000000" w:themeColor="text1"/>
                <w:szCs w:val="21"/>
                <w14:textFill>
                  <w14:solidFill>
                    <w14:schemeClr w14:val="tx1"/>
                  </w14:solidFill>
                </w14:textFill>
              </w:rPr>
              <w:t>2.</w:t>
            </w:r>
            <w:r>
              <w:rPr>
                <w:rFonts w:hint="eastAsia"/>
                <w:color w:val="000000" w:themeColor="text1"/>
                <w:szCs w:val="21"/>
                <w14:textFill>
                  <w14:solidFill>
                    <w14:schemeClr w14:val="tx1"/>
                  </w14:solidFill>
                </w14:textFill>
              </w:rPr>
              <w:t>市场营销</w:t>
            </w:r>
          </w:p>
        </w:tc>
      </w:tr>
    </w:tbl>
    <w:p>
      <w:pPr>
        <w:adjustRightInd w:val="0"/>
        <w:snapToGrid w:val="0"/>
        <w:spacing w:before="156" w:beforeLines="50"/>
        <w:ind w:firstLine="480" w:firstLineChars="200"/>
        <w:rPr>
          <w:rFonts w:ascii="宋体" w:hAnsi="宋体" w:cs="Angsana New"/>
          <w:b/>
          <w:bCs/>
          <w:sz w:val="24"/>
          <w:szCs w:val="24"/>
          <w:lang w:bidi="th-TH"/>
        </w:rPr>
      </w:pPr>
      <w:r>
        <w:rPr>
          <w:rFonts w:hint="eastAsia" w:ascii="宋体" w:hAnsi="宋体" w:cs="Angsana New"/>
          <w:b/>
          <w:bCs/>
          <w:sz w:val="24"/>
          <w:szCs w:val="24"/>
          <w:lang w:bidi="th-TH"/>
        </w:rPr>
        <w:t>（二）岗位分析图</w:t>
      </w:r>
    </w:p>
    <w:p>
      <w:pPr>
        <w:jc w:val="center"/>
        <w:rPr>
          <w:rFonts w:ascii="宋体" w:cs="Angsana New"/>
          <w:color w:val="00B050"/>
          <w:sz w:val="24"/>
          <w:szCs w:val="24"/>
          <w:lang w:bidi="th-TH"/>
        </w:rPr>
      </w:pPr>
      <w:r>
        <w:drawing>
          <wp:inline distT="0" distB="0" distL="0" distR="0">
            <wp:extent cx="4389120" cy="3448050"/>
            <wp:effectExtent l="0" t="0" r="1143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4420339" cy="3472233"/>
                    </a:xfrm>
                    <a:prstGeom prst="rect">
                      <a:avLst/>
                    </a:prstGeom>
                  </pic:spPr>
                </pic:pic>
              </a:graphicData>
            </a:graphic>
          </wp:inline>
        </w:drawing>
      </w:r>
    </w:p>
    <w:p>
      <w:pPr>
        <w:adjustRightInd w:val="0"/>
        <w:snapToGrid w:val="0"/>
        <w:spacing w:line="360" w:lineRule="auto"/>
        <w:jc w:val="center"/>
        <w:rPr>
          <w:rFonts w:ascii="宋体" w:hAnsi="宋体" w:cs="Angsana New"/>
          <w:b/>
          <w:color w:val="000000" w:themeColor="text1"/>
          <w:szCs w:val="21"/>
          <w:lang w:bidi="th-TH"/>
          <w14:textFill>
            <w14:solidFill>
              <w14:schemeClr w14:val="tx1"/>
            </w14:solidFill>
          </w14:textFill>
        </w:rPr>
      </w:pPr>
      <w:r>
        <w:rPr>
          <w:rFonts w:ascii="宋体" w:hAnsi="宋体" w:cs="Angsana New"/>
          <w:b/>
          <w:color w:val="000000" w:themeColor="text1"/>
          <w:szCs w:val="21"/>
          <w:lang w:bidi="th-TH"/>
          <w14:textFill>
            <w14:solidFill>
              <w14:schemeClr w14:val="tx1"/>
            </w14:solidFill>
          </w14:textFill>
        </w:rPr>
        <w:t>图</w:t>
      </w:r>
      <w:r>
        <w:rPr>
          <w:rFonts w:hint="eastAsia" w:ascii="宋体" w:hAnsi="宋体" w:cs="Angsana New"/>
          <w:b/>
          <w:color w:val="000000" w:themeColor="text1"/>
          <w:szCs w:val="21"/>
          <w:lang w:bidi="th-TH"/>
          <w14:textFill>
            <w14:solidFill>
              <w14:schemeClr w14:val="tx1"/>
            </w14:solidFill>
          </w14:textFill>
        </w:rPr>
        <w:t>1</w:t>
      </w:r>
      <w:r>
        <w:rPr>
          <w:rFonts w:ascii="宋体" w:hAnsi="宋体" w:cs="Angsana New"/>
          <w:b/>
          <w:color w:val="000000" w:themeColor="text1"/>
          <w:szCs w:val="21"/>
          <w:lang w:bidi="th-TH"/>
          <w14:textFill>
            <w14:solidFill>
              <w14:schemeClr w14:val="tx1"/>
            </w14:solidFill>
          </w14:textFill>
        </w:rPr>
        <w:t xml:space="preserve"> 岗位分析图</w:t>
      </w:r>
    </w:p>
    <w:p>
      <w:pPr>
        <w:adjustRightInd w:val="0"/>
        <w:snapToGrid w:val="0"/>
        <w:spacing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val="en-US" w:eastAsia="zh-CN" w:bidi="th-TH"/>
        </w:rPr>
        <w:t>六</w:t>
      </w:r>
      <w:r>
        <w:rPr>
          <w:rFonts w:hint="eastAsia" w:ascii="黑体" w:hAnsi="黑体" w:eastAsia="黑体" w:cs="Angsana New"/>
          <w:bCs/>
          <w:sz w:val="28"/>
          <w:szCs w:val="28"/>
          <w:lang w:bidi="th-TH"/>
        </w:rPr>
        <w:t>、课程设置及学时安排</w:t>
      </w:r>
    </w:p>
    <w:p>
      <w:pPr>
        <w:adjustRightInd w:val="0"/>
        <w:snapToGrid w:val="0"/>
        <w:spacing w:line="360" w:lineRule="auto"/>
        <w:ind w:firstLine="480" w:firstLineChars="200"/>
        <w:rPr>
          <w:rFonts w:ascii="宋体" w:hAnsi="宋体" w:cs="Angsana New"/>
          <w:b/>
          <w:bCs/>
          <w:sz w:val="24"/>
          <w:szCs w:val="24"/>
          <w:lang w:bidi="th-TH"/>
        </w:rPr>
      </w:pPr>
      <w:r>
        <w:rPr>
          <w:rFonts w:hint="eastAsia" w:ascii="宋体" w:hAnsi="宋体" w:cs="Angsana New"/>
          <w:b/>
          <w:bCs/>
          <w:sz w:val="24"/>
          <w:szCs w:val="24"/>
          <w:lang w:bidi="th-TH"/>
        </w:rPr>
        <w:t>（一</w:t>
      </w:r>
      <w:r>
        <w:rPr>
          <w:rFonts w:ascii="宋体" w:hAnsi="宋体" w:cs="Angsana New"/>
          <w:b/>
          <w:bCs/>
          <w:sz w:val="24"/>
          <w:szCs w:val="24"/>
          <w:lang w:bidi="th-TH"/>
        </w:rPr>
        <w:t>）</w:t>
      </w:r>
      <w:r>
        <w:rPr>
          <w:rFonts w:hint="eastAsia" w:ascii="宋体" w:hAnsi="宋体" w:cs="Angsana New"/>
          <w:b/>
          <w:bCs/>
          <w:sz w:val="24"/>
          <w:szCs w:val="24"/>
          <w:lang w:bidi="th-TH"/>
        </w:rPr>
        <w:t>课程</w:t>
      </w:r>
      <w:r>
        <w:rPr>
          <w:rFonts w:ascii="宋体" w:hAnsi="宋体" w:cs="Angsana New"/>
          <w:b/>
          <w:bCs/>
          <w:sz w:val="24"/>
          <w:szCs w:val="24"/>
          <w:lang w:bidi="th-TH"/>
        </w:rPr>
        <w:t>体系</w:t>
      </w:r>
    </w:p>
    <w:p>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以立德树人为根本任务，落实“课程思政”要求，促进产教深度融合，推进“岗课赛证”综合育人，构建“</w:t>
      </w:r>
      <w:bookmarkStart w:id="0" w:name="_Hlk133047022"/>
      <w:r>
        <w:rPr>
          <w:rFonts w:hint="eastAsia" w:ascii="宋体" w:hAnsi="宋体" w:cs="Angsana New"/>
          <w:color w:val="000000" w:themeColor="text1"/>
          <w:sz w:val="24"/>
          <w:szCs w:val="24"/>
          <w:lang w:bidi="th-TH"/>
          <w14:textFill>
            <w14:solidFill>
              <w14:schemeClr w14:val="tx1"/>
            </w14:solidFill>
          </w14:textFill>
        </w:rPr>
        <w:t>文化素养课程平台</w:t>
      </w:r>
      <w:bookmarkEnd w:id="0"/>
      <w:r>
        <w:rPr>
          <w:rFonts w:hint="eastAsia" w:ascii="宋体" w:hAnsi="宋体" w:cs="Angsana New"/>
          <w:color w:val="000000" w:themeColor="text1"/>
          <w:sz w:val="24"/>
          <w:szCs w:val="24"/>
          <w:lang w:bidi="th-TH"/>
          <w14:textFill>
            <w14:solidFill>
              <w14:schemeClr w14:val="tx1"/>
            </w14:solidFill>
          </w14:textFill>
        </w:rPr>
        <w:t>、专业群课程平台、素质能力选修课程平台 + 专业核心能力课程模块、专业拓展选修课程模块”的“3平台+</w:t>
      </w:r>
      <w:r>
        <w:rPr>
          <w:rFonts w:ascii="宋体" w:hAnsi="宋体" w:cs="Angsana New"/>
          <w:color w:val="000000" w:themeColor="text1"/>
          <w:sz w:val="24"/>
          <w:szCs w:val="24"/>
          <w:lang w:bidi="th-TH"/>
          <w14:textFill>
            <w14:solidFill>
              <w14:schemeClr w14:val="tx1"/>
            </w14:solidFill>
          </w14:textFill>
        </w:rPr>
        <w:t>2</w:t>
      </w:r>
      <w:r>
        <w:rPr>
          <w:rFonts w:hint="eastAsia" w:ascii="宋体" w:hAnsi="宋体" w:cs="Angsana New"/>
          <w:color w:val="000000" w:themeColor="text1"/>
          <w:sz w:val="24"/>
          <w:szCs w:val="24"/>
          <w:lang w:bidi="th-TH"/>
          <w14:textFill>
            <w14:solidFill>
              <w14:schemeClr w14:val="tx1"/>
            </w14:solidFill>
          </w14:textFill>
        </w:rPr>
        <w:t>模块”课程体系，满足学生的多样化选择、多路径成才。</w:t>
      </w:r>
    </w:p>
    <w:p>
      <w:pPr>
        <w:adjustRightInd w:val="0"/>
        <w:snapToGrid w:val="0"/>
        <w:spacing w:line="360" w:lineRule="auto"/>
        <w:jc w:val="center"/>
        <w:rPr>
          <w:rFonts w:ascii="宋体" w:hAnsi="宋体" w:cs="Angsana New"/>
          <w:b/>
          <w:color w:val="00B0F0"/>
          <w:sz w:val="24"/>
          <w:szCs w:val="24"/>
          <w:lang w:bidi="th-TH"/>
        </w:rPr>
      </w:pPr>
      <w:r>
        <w:drawing>
          <wp:inline distT="0" distB="0" distL="114300" distR="114300">
            <wp:extent cx="5394325" cy="3221355"/>
            <wp:effectExtent l="0" t="0" r="15875" b="1714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2"/>
                    <a:stretch>
                      <a:fillRect/>
                    </a:stretch>
                  </pic:blipFill>
                  <pic:spPr>
                    <a:xfrm>
                      <a:off x="0" y="0"/>
                      <a:ext cx="5394325" cy="3221355"/>
                    </a:xfrm>
                    <a:prstGeom prst="rect">
                      <a:avLst/>
                    </a:prstGeom>
                    <a:noFill/>
                    <a:ln>
                      <a:noFill/>
                    </a:ln>
                  </pic:spPr>
                </pic:pic>
              </a:graphicData>
            </a:graphic>
          </wp:inline>
        </w:drawing>
      </w:r>
    </w:p>
    <w:p>
      <w:pPr>
        <w:adjustRightInd w:val="0"/>
        <w:snapToGrid w:val="0"/>
        <w:spacing w:line="360" w:lineRule="auto"/>
        <w:jc w:val="center"/>
        <w:rPr>
          <w:rFonts w:ascii="宋体" w:hAnsi="宋体" w:cs="Angsana New"/>
          <w:b/>
          <w:color w:val="000000" w:themeColor="text1"/>
          <w:szCs w:val="21"/>
          <w:lang w:bidi="th-TH"/>
          <w14:textFill>
            <w14:solidFill>
              <w14:schemeClr w14:val="tx1"/>
            </w14:solidFill>
          </w14:textFill>
        </w:rPr>
      </w:pPr>
      <w:r>
        <w:rPr>
          <w:rFonts w:ascii="宋体" w:hAnsi="宋体" w:cs="Angsana New"/>
          <w:b/>
          <w:color w:val="000000" w:themeColor="text1"/>
          <w:szCs w:val="21"/>
          <w:lang w:bidi="th-TH"/>
          <w14:textFill>
            <w14:solidFill>
              <w14:schemeClr w14:val="tx1"/>
            </w14:solidFill>
          </w14:textFill>
        </w:rPr>
        <w:t>图</w:t>
      </w:r>
      <w:r>
        <w:rPr>
          <w:rFonts w:hint="eastAsia" w:ascii="宋体" w:hAnsi="宋体" w:cs="Angsana New"/>
          <w:b/>
          <w:color w:val="000000" w:themeColor="text1"/>
          <w:szCs w:val="21"/>
          <w:lang w:bidi="th-TH"/>
          <w14:textFill>
            <w14:solidFill>
              <w14:schemeClr w14:val="tx1"/>
            </w14:solidFill>
          </w14:textFill>
        </w:rPr>
        <w:t>2</w:t>
      </w:r>
      <w:r>
        <w:rPr>
          <w:rFonts w:ascii="宋体" w:hAnsi="宋体" w:cs="Angsana New"/>
          <w:b/>
          <w:color w:val="000000" w:themeColor="text1"/>
          <w:szCs w:val="21"/>
          <w:lang w:bidi="th-TH"/>
          <w14:textFill>
            <w14:solidFill>
              <w14:schemeClr w14:val="tx1"/>
            </w14:solidFill>
          </w14:textFill>
        </w:rPr>
        <w:t xml:space="preserve"> 课程体系图</w:t>
      </w:r>
    </w:p>
    <w:p>
      <w:pPr>
        <w:adjustRightInd w:val="0"/>
        <w:snapToGrid w:val="0"/>
        <w:spacing w:line="360" w:lineRule="auto"/>
        <w:ind w:firstLine="480" w:firstLineChars="200"/>
        <w:rPr>
          <w:rFonts w:ascii="宋体" w:hAnsi="宋体" w:cs="Angsana New"/>
          <w:b/>
          <w:bCs/>
          <w:sz w:val="24"/>
          <w:szCs w:val="24"/>
          <w:lang w:bidi="th-TH"/>
        </w:rPr>
      </w:pPr>
      <w:r>
        <w:rPr>
          <w:rFonts w:hint="eastAsia" w:ascii="宋体" w:hAnsi="宋体" w:cs="Angsana New"/>
          <w:b/>
          <w:bCs/>
          <w:sz w:val="24"/>
          <w:szCs w:val="24"/>
          <w:lang w:bidi="th-TH"/>
        </w:rPr>
        <w:t>（二）课程设置</w:t>
      </w:r>
    </w:p>
    <w:p>
      <w:pPr>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本专业</w:t>
      </w:r>
      <w:r>
        <w:rPr>
          <w:rFonts w:ascii="宋体" w:hAnsi="宋体" w:cs="Angsana New"/>
          <w:color w:val="000000" w:themeColor="text1"/>
          <w:sz w:val="24"/>
          <w:szCs w:val="24"/>
          <w:lang w:bidi="th-TH"/>
          <w14:textFill>
            <w14:solidFill>
              <w14:schemeClr w14:val="tx1"/>
            </w14:solidFill>
          </w14:textFill>
        </w:rPr>
        <w:t>A</w:t>
      </w:r>
      <w:r>
        <w:rPr>
          <w:rFonts w:hint="eastAsia" w:ascii="宋体" w:hAnsi="宋体" w:cs="Angsana New"/>
          <w:color w:val="000000" w:themeColor="text1"/>
          <w:sz w:val="24"/>
          <w:szCs w:val="24"/>
          <w:lang w:bidi="th-TH"/>
          <w14:textFill>
            <w14:solidFill>
              <w14:schemeClr w14:val="tx1"/>
            </w14:solidFill>
          </w14:textFill>
        </w:rPr>
        <w:t>类课</w:t>
      </w:r>
      <w:r>
        <w:rPr>
          <w:rFonts w:ascii="宋体" w:hAnsi="宋体" w:cs="Angsana New"/>
          <w:color w:val="000000" w:themeColor="text1"/>
          <w:sz w:val="24"/>
          <w:szCs w:val="24"/>
          <w:lang w:bidi="th-TH"/>
          <w14:textFill>
            <w14:solidFill>
              <w14:schemeClr w14:val="tx1"/>
            </w14:solidFill>
          </w14:textFill>
        </w:rPr>
        <w:t>1</w:t>
      </w:r>
      <w:r>
        <w:rPr>
          <w:rFonts w:hint="eastAsia" w:ascii="宋体" w:hAnsi="宋体" w:cs="Angsana New"/>
          <w:color w:val="000000" w:themeColor="text1"/>
          <w:sz w:val="24"/>
          <w:szCs w:val="24"/>
          <w:lang w:val="en-US" w:eastAsia="zh-CN" w:bidi="th-TH"/>
          <w14:textFill>
            <w14:solidFill>
              <w14:schemeClr w14:val="tx1"/>
            </w14:solidFill>
          </w14:textFill>
        </w:rPr>
        <w:t>9</w:t>
      </w:r>
      <w:r>
        <w:rPr>
          <w:rFonts w:hint="eastAsia" w:ascii="宋体" w:hAnsi="宋体" w:cs="Angsana New"/>
          <w:color w:val="000000" w:themeColor="text1"/>
          <w:sz w:val="24"/>
          <w:szCs w:val="24"/>
          <w:lang w:bidi="th-TH"/>
          <w14:textFill>
            <w14:solidFill>
              <w14:schemeClr w14:val="tx1"/>
            </w14:solidFill>
          </w14:textFill>
        </w:rPr>
        <w:t>门、</w:t>
      </w:r>
      <w:r>
        <w:rPr>
          <w:rFonts w:ascii="宋体" w:hAnsi="宋体" w:cs="Angsana New"/>
          <w:color w:val="000000" w:themeColor="text1"/>
          <w:sz w:val="24"/>
          <w:szCs w:val="24"/>
          <w:lang w:bidi="th-TH"/>
          <w14:textFill>
            <w14:solidFill>
              <w14:schemeClr w14:val="tx1"/>
            </w14:solidFill>
          </w14:textFill>
        </w:rPr>
        <w:t>B</w:t>
      </w:r>
      <w:r>
        <w:rPr>
          <w:rFonts w:hint="eastAsia" w:ascii="宋体" w:hAnsi="宋体" w:cs="Angsana New"/>
          <w:color w:val="000000" w:themeColor="text1"/>
          <w:sz w:val="24"/>
          <w:szCs w:val="24"/>
          <w:lang w:bidi="th-TH"/>
          <w14:textFill>
            <w14:solidFill>
              <w14:schemeClr w14:val="tx1"/>
            </w14:solidFill>
          </w14:textFill>
        </w:rPr>
        <w:t>类课</w:t>
      </w:r>
      <w:r>
        <w:rPr>
          <w:rFonts w:ascii="宋体" w:hAnsi="宋体" w:cs="Angsana New"/>
          <w:color w:val="000000" w:themeColor="text1"/>
          <w:sz w:val="24"/>
          <w:szCs w:val="24"/>
          <w:lang w:bidi="th-TH"/>
          <w14:textFill>
            <w14:solidFill>
              <w14:schemeClr w14:val="tx1"/>
            </w14:solidFill>
          </w14:textFill>
        </w:rPr>
        <w:t>3</w:t>
      </w:r>
      <w:r>
        <w:rPr>
          <w:rFonts w:hint="eastAsia" w:ascii="宋体" w:hAnsi="宋体" w:cs="Angsana New"/>
          <w:color w:val="000000" w:themeColor="text1"/>
          <w:sz w:val="24"/>
          <w:szCs w:val="24"/>
          <w:lang w:val="en-US" w:eastAsia="zh-CN" w:bidi="th-TH"/>
          <w14:textFill>
            <w14:solidFill>
              <w14:schemeClr w14:val="tx1"/>
            </w14:solidFill>
          </w14:textFill>
        </w:rPr>
        <w:t>2</w:t>
      </w:r>
      <w:r>
        <w:rPr>
          <w:rFonts w:hint="eastAsia" w:ascii="宋体" w:hAnsi="宋体" w:cs="Angsana New"/>
          <w:color w:val="000000" w:themeColor="text1"/>
          <w:sz w:val="24"/>
          <w:szCs w:val="24"/>
          <w:lang w:bidi="th-TH"/>
          <w14:textFill>
            <w14:solidFill>
              <w14:schemeClr w14:val="tx1"/>
            </w14:solidFill>
          </w14:textFill>
        </w:rPr>
        <w:t>门、</w:t>
      </w:r>
      <w:r>
        <w:rPr>
          <w:rFonts w:ascii="宋体" w:hAnsi="宋体" w:cs="Angsana New"/>
          <w:color w:val="000000" w:themeColor="text1"/>
          <w:sz w:val="24"/>
          <w:szCs w:val="24"/>
          <w:lang w:bidi="th-TH"/>
          <w14:textFill>
            <w14:solidFill>
              <w14:schemeClr w14:val="tx1"/>
            </w14:solidFill>
          </w14:textFill>
        </w:rPr>
        <w:t>C</w:t>
      </w:r>
      <w:r>
        <w:rPr>
          <w:rFonts w:hint="eastAsia" w:ascii="宋体" w:hAnsi="宋体" w:cs="Angsana New"/>
          <w:color w:val="000000" w:themeColor="text1"/>
          <w:sz w:val="24"/>
          <w:szCs w:val="24"/>
          <w:lang w:bidi="th-TH"/>
          <w14:textFill>
            <w14:solidFill>
              <w14:schemeClr w14:val="tx1"/>
            </w14:solidFill>
          </w14:textFill>
        </w:rPr>
        <w:t>类课</w:t>
      </w:r>
      <w:r>
        <w:rPr>
          <w:rFonts w:ascii="宋体" w:hAnsi="宋体" w:cs="Angsana New"/>
          <w:color w:val="000000" w:themeColor="text1"/>
          <w:sz w:val="24"/>
          <w:szCs w:val="24"/>
          <w:lang w:bidi="th-TH"/>
          <w14:textFill>
            <w14:solidFill>
              <w14:schemeClr w14:val="tx1"/>
            </w14:solidFill>
          </w14:textFill>
        </w:rPr>
        <w:t>1</w:t>
      </w:r>
      <w:r>
        <w:rPr>
          <w:rFonts w:hint="eastAsia" w:ascii="宋体" w:hAnsi="宋体" w:cs="Angsana New"/>
          <w:color w:val="000000" w:themeColor="text1"/>
          <w:sz w:val="24"/>
          <w:szCs w:val="24"/>
          <w:lang w:val="en-US" w:eastAsia="zh-CN" w:bidi="th-TH"/>
          <w14:textFill>
            <w14:solidFill>
              <w14:schemeClr w14:val="tx1"/>
            </w14:solidFill>
          </w14:textFill>
        </w:rPr>
        <w:t>5</w:t>
      </w:r>
      <w:r>
        <w:rPr>
          <w:rFonts w:hint="eastAsia" w:ascii="宋体" w:hAnsi="宋体" w:cs="Angsana New"/>
          <w:color w:val="000000" w:themeColor="text1"/>
          <w:sz w:val="24"/>
          <w:szCs w:val="24"/>
          <w:lang w:bidi="th-TH"/>
          <w14:textFill>
            <w14:solidFill>
              <w14:schemeClr w14:val="tx1"/>
            </w14:solidFill>
          </w14:textFill>
        </w:rPr>
        <w:t>门，课程标准</w:t>
      </w:r>
      <w:r>
        <w:rPr>
          <w:rFonts w:hint="eastAsia" w:ascii="宋体" w:hAnsi="宋体" w:cs="Angsana New"/>
          <w:color w:val="000000" w:themeColor="text1"/>
          <w:sz w:val="24"/>
          <w:szCs w:val="24"/>
          <w:lang w:val="en-US" w:eastAsia="zh-CN" w:bidi="th-TH"/>
          <w14:textFill>
            <w14:solidFill>
              <w14:schemeClr w14:val="tx1"/>
            </w14:solidFill>
          </w14:textFill>
        </w:rPr>
        <w:t>50</w:t>
      </w:r>
      <w:r>
        <w:rPr>
          <w:rFonts w:hint="eastAsia" w:ascii="宋体" w:hAnsi="宋体" w:cs="Angsana New"/>
          <w:color w:val="000000" w:themeColor="text1"/>
          <w:sz w:val="24"/>
          <w:szCs w:val="24"/>
          <w:lang w:bidi="th-TH"/>
          <w14:textFill>
            <w14:solidFill>
              <w14:schemeClr w14:val="tx1"/>
            </w14:solidFill>
          </w14:textFill>
        </w:rPr>
        <w:t>门，选修课程</w:t>
      </w:r>
      <w:r>
        <w:rPr>
          <w:rFonts w:ascii="宋体" w:hAnsi="宋体" w:cs="Angsana New"/>
          <w:color w:val="000000" w:themeColor="text1"/>
          <w:sz w:val="24"/>
          <w:szCs w:val="24"/>
          <w:lang w:bidi="th-TH"/>
          <w14:textFill>
            <w14:solidFill>
              <w14:schemeClr w14:val="tx1"/>
            </w14:solidFill>
          </w14:textFill>
        </w:rPr>
        <w:t>288</w:t>
      </w:r>
      <w:r>
        <w:rPr>
          <w:rFonts w:hint="eastAsia" w:ascii="宋体" w:hAnsi="宋体" w:cs="Angsana New"/>
          <w:color w:val="000000" w:themeColor="text1"/>
          <w:sz w:val="24"/>
          <w:szCs w:val="24"/>
          <w:lang w:bidi="th-TH"/>
          <w14:textFill>
            <w14:solidFill>
              <w14:schemeClr w14:val="tx1"/>
            </w14:solidFill>
          </w14:textFill>
        </w:rPr>
        <w:t>学时，考试课</w:t>
      </w:r>
      <w:r>
        <w:rPr>
          <w:rFonts w:ascii="宋体" w:hAnsi="宋体" w:cs="Angsana New"/>
          <w:color w:val="000000" w:themeColor="text1"/>
          <w:sz w:val="24"/>
          <w:szCs w:val="24"/>
          <w:lang w:bidi="th-TH"/>
          <w14:textFill>
            <w14:solidFill>
              <w14:schemeClr w14:val="tx1"/>
            </w14:solidFill>
          </w14:textFill>
        </w:rPr>
        <w:t>17</w:t>
      </w:r>
      <w:r>
        <w:rPr>
          <w:rFonts w:hint="eastAsia" w:ascii="宋体" w:hAnsi="宋体" w:cs="Angsana New"/>
          <w:color w:val="000000" w:themeColor="text1"/>
          <w:sz w:val="24"/>
          <w:szCs w:val="24"/>
          <w:lang w:bidi="th-TH"/>
          <w14:textFill>
            <w14:solidFill>
              <w14:schemeClr w14:val="tx1"/>
            </w14:solidFill>
          </w14:textFill>
        </w:rPr>
        <w:t>门，考查课</w:t>
      </w:r>
      <w:r>
        <w:rPr>
          <w:rFonts w:hint="eastAsia" w:ascii="宋体" w:hAnsi="宋体" w:cs="Angsana New"/>
          <w:color w:val="000000" w:themeColor="text1"/>
          <w:sz w:val="24"/>
          <w:szCs w:val="24"/>
          <w:lang w:val="en-US" w:eastAsia="zh-CN" w:bidi="th-TH"/>
          <w14:textFill>
            <w14:solidFill>
              <w14:schemeClr w14:val="tx1"/>
            </w14:solidFill>
          </w14:textFill>
        </w:rPr>
        <w:t>49</w:t>
      </w:r>
      <w:r>
        <w:rPr>
          <w:rFonts w:hint="eastAsia" w:ascii="宋体" w:hAnsi="宋体" w:cs="Angsana New"/>
          <w:color w:val="000000" w:themeColor="text1"/>
          <w:sz w:val="24"/>
          <w:szCs w:val="24"/>
          <w:lang w:bidi="th-TH"/>
          <w14:textFill>
            <w14:solidFill>
              <w14:schemeClr w14:val="tx1"/>
            </w14:solidFill>
          </w14:textFill>
        </w:rPr>
        <w:t>门。</w:t>
      </w:r>
    </w:p>
    <w:p>
      <w:pPr>
        <w:spacing w:line="360" w:lineRule="auto"/>
        <w:ind w:firstLine="480" w:firstLineChars="200"/>
        <w:rPr>
          <w:rFonts w:ascii="宋体" w:hAnsi="宋体" w:cs="Angsana New"/>
          <w:bCs/>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w:t>
      </w:r>
      <w:r>
        <w:rPr>
          <w:rFonts w:hint="eastAsia" w:ascii="宋体" w:hAnsi="宋体" w:cs="Angsana New"/>
          <w:bCs/>
          <w:sz w:val="24"/>
          <w:szCs w:val="24"/>
          <w:lang w:bidi="th-TH"/>
        </w:rPr>
        <w:t>公共基础课程</w:t>
      </w:r>
    </w:p>
    <w:p>
      <w:pPr>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本专业公共基础课</w:t>
      </w:r>
      <w:r>
        <w:rPr>
          <w:rFonts w:ascii="宋体" w:hAnsi="宋体" w:cs="Angsana New"/>
          <w:color w:val="000000" w:themeColor="text1"/>
          <w:sz w:val="24"/>
          <w:szCs w:val="24"/>
          <w:lang w:bidi="th-TH"/>
          <w14:textFill>
            <w14:solidFill>
              <w14:schemeClr w14:val="tx1"/>
            </w14:solidFill>
          </w14:textFill>
        </w:rPr>
        <w:t>9</w:t>
      </w:r>
      <w:r>
        <w:rPr>
          <w:rFonts w:hint="eastAsia" w:ascii="宋体" w:hAnsi="宋体" w:cs="Angsana New"/>
          <w:color w:val="000000" w:themeColor="text1"/>
          <w:sz w:val="24"/>
          <w:szCs w:val="24"/>
          <w:lang w:val="en-US" w:eastAsia="zh-CN" w:bidi="th-TH"/>
          <w14:textFill>
            <w14:solidFill>
              <w14:schemeClr w14:val="tx1"/>
            </w14:solidFill>
          </w14:textFill>
        </w:rPr>
        <w:t>28</w:t>
      </w:r>
      <w:r>
        <w:rPr>
          <w:rFonts w:hint="eastAsia" w:ascii="宋体" w:hAnsi="宋体" w:cs="Angsana New"/>
          <w:color w:val="000000" w:themeColor="text1"/>
          <w:sz w:val="24"/>
          <w:szCs w:val="24"/>
          <w:lang w:bidi="th-TH"/>
          <w14:textFill>
            <w14:solidFill>
              <w14:schemeClr w14:val="tx1"/>
            </w14:solidFill>
          </w14:textFill>
        </w:rPr>
        <w:t>学时，其中体育课</w:t>
      </w:r>
      <w:r>
        <w:rPr>
          <w:rFonts w:ascii="宋体" w:hAnsi="宋体" w:cs="Angsana New"/>
          <w:color w:val="000000" w:themeColor="text1"/>
          <w:sz w:val="24"/>
          <w:szCs w:val="24"/>
          <w:lang w:bidi="th-TH"/>
          <w14:textFill>
            <w14:solidFill>
              <w14:schemeClr w14:val="tx1"/>
            </w14:solidFill>
          </w14:textFill>
        </w:rPr>
        <w:t>96</w:t>
      </w:r>
      <w:r>
        <w:rPr>
          <w:rFonts w:hint="eastAsia" w:ascii="宋体" w:hAnsi="宋体" w:cs="Angsana New"/>
          <w:color w:val="000000" w:themeColor="text1"/>
          <w:sz w:val="24"/>
          <w:szCs w:val="24"/>
          <w:lang w:bidi="th-TH"/>
          <w14:textFill>
            <w14:solidFill>
              <w14:schemeClr w14:val="tx1"/>
            </w14:solidFill>
          </w14:textFill>
        </w:rPr>
        <w:t>学时、毛泽东思想和中国特色社会主义理论体系概论</w:t>
      </w:r>
      <w:r>
        <w:rPr>
          <w:rFonts w:ascii="宋体" w:hAnsi="宋体" w:cs="Angsana New"/>
          <w:color w:val="000000" w:themeColor="text1"/>
          <w:sz w:val="24"/>
          <w:szCs w:val="24"/>
          <w:lang w:bidi="th-TH"/>
          <w14:textFill>
            <w14:solidFill>
              <w14:schemeClr w14:val="tx1"/>
            </w14:solidFill>
          </w14:textFill>
        </w:rPr>
        <w:t>2</w:t>
      </w:r>
      <w:r>
        <w:rPr>
          <w:rFonts w:hint="eastAsia" w:ascii="宋体" w:hAnsi="宋体" w:cs="Angsana New"/>
          <w:color w:val="000000" w:themeColor="text1"/>
          <w:sz w:val="24"/>
          <w:szCs w:val="24"/>
          <w:lang w:bidi="th-TH"/>
          <w14:textFill>
            <w14:solidFill>
              <w14:schemeClr w14:val="tx1"/>
            </w14:solidFill>
          </w14:textFill>
        </w:rPr>
        <w:t>学分、习近平新时代中国特色社会主义思想概论</w:t>
      </w:r>
      <w:r>
        <w:rPr>
          <w:rFonts w:ascii="宋体" w:hAnsi="宋体" w:cs="Angsana New"/>
          <w:color w:val="000000" w:themeColor="text1"/>
          <w:sz w:val="24"/>
          <w:szCs w:val="24"/>
          <w:lang w:bidi="th-TH"/>
          <w14:textFill>
            <w14:solidFill>
              <w14:schemeClr w14:val="tx1"/>
            </w14:solidFill>
          </w14:textFill>
        </w:rPr>
        <w:t>3</w:t>
      </w:r>
      <w:r>
        <w:rPr>
          <w:rFonts w:hint="eastAsia" w:ascii="宋体" w:hAnsi="宋体" w:cs="Angsana New"/>
          <w:color w:val="000000" w:themeColor="text1"/>
          <w:sz w:val="24"/>
          <w:szCs w:val="24"/>
          <w:lang w:bidi="th-TH"/>
          <w14:textFill>
            <w14:solidFill>
              <w14:schemeClr w14:val="tx1"/>
            </w14:solidFill>
          </w14:textFill>
        </w:rPr>
        <w:t>学分、思想道德修养与</w:t>
      </w:r>
      <w:r>
        <w:rPr>
          <w:rFonts w:hint="eastAsia" w:ascii="宋体" w:hAnsi="宋体" w:cs="Angsana New"/>
          <w:color w:val="000000" w:themeColor="text1"/>
          <w:sz w:val="24"/>
          <w:szCs w:val="24"/>
          <w:lang w:val="en-US" w:eastAsia="zh-CN" w:bidi="th-TH"/>
          <w14:textFill>
            <w14:solidFill>
              <w14:schemeClr w14:val="tx1"/>
            </w14:solidFill>
          </w14:textFill>
        </w:rPr>
        <w:t>法治</w:t>
      </w:r>
      <w:r>
        <w:rPr>
          <w:rFonts w:ascii="宋体" w:hAnsi="宋体" w:cs="Angsana New"/>
          <w:color w:val="000000" w:themeColor="text1"/>
          <w:sz w:val="24"/>
          <w:szCs w:val="24"/>
          <w:lang w:bidi="th-TH"/>
          <w14:textFill>
            <w14:solidFill>
              <w14:schemeClr w14:val="tx1"/>
            </w14:solidFill>
          </w14:textFill>
        </w:rPr>
        <w:t>3</w:t>
      </w:r>
      <w:r>
        <w:rPr>
          <w:rFonts w:hint="eastAsia" w:ascii="宋体" w:hAnsi="宋体" w:cs="Angsana New"/>
          <w:color w:val="000000" w:themeColor="text1"/>
          <w:sz w:val="24"/>
          <w:szCs w:val="24"/>
          <w:lang w:bidi="th-TH"/>
          <w14:textFill>
            <w14:solidFill>
              <w14:schemeClr w14:val="tx1"/>
            </w14:solidFill>
          </w14:textFill>
        </w:rPr>
        <w:t>学分、形势与政策</w:t>
      </w:r>
      <w:r>
        <w:rPr>
          <w:rFonts w:ascii="宋体" w:hAnsi="宋体" w:cs="Angsana New"/>
          <w:color w:val="000000" w:themeColor="text1"/>
          <w:sz w:val="24"/>
          <w:szCs w:val="24"/>
          <w:lang w:bidi="th-TH"/>
          <w14:textFill>
            <w14:solidFill>
              <w14:schemeClr w14:val="tx1"/>
            </w14:solidFill>
          </w14:textFill>
        </w:rPr>
        <w:t>1</w:t>
      </w:r>
      <w:r>
        <w:rPr>
          <w:rFonts w:hint="eastAsia" w:ascii="宋体" w:hAnsi="宋体" w:cs="Angsana New"/>
          <w:color w:val="000000" w:themeColor="text1"/>
          <w:sz w:val="24"/>
          <w:szCs w:val="24"/>
          <w:lang w:bidi="th-TH"/>
          <w14:textFill>
            <w14:solidFill>
              <w14:schemeClr w14:val="tx1"/>
            </w14:solidFill>
          </w14:textFill>
        </w:rPr>
        <w:t>学分，劳动教育</w:t>
      </w:r>
      <w:r>
        <w:rPr>
          <w:rFonts w:ascii="宋体" w:hAnsi="宋体" w:cs="Angsana New"/>
          <w:color w:val="000000" w:themeColor="text1"/>
          <w:sz w:val="24"/>
          <w:szCs w:val="24"/>
          <w:lang w:bidi="th-TH"/>
          <w14:textFill>
            <w14:solidFill>
              <w14:schemeClr w14:val="tx1"/>
            </w14:solidFill>
          </w14:textFill>
        </w:rPr>
        <w:t>16</w:t>
      </w:r>
      <w:r>
        <w:rPr>
          <w:rFonts w:hint="eastAsia" w:ascii="宋体" w:hAnsi="宋体" w:cs="Angsana New"/>
          <w:color w:val="000000" w:themeColor="text1"/>
          <w:sz w:val="24"/>
          <w:szCs w:val="24"/>
          <w:lang w:bidi="th-TH"/>
          <w14:textFill>
            <w14:solidFill>
              <w14:schemeClr w14:val="tx1"/>
            </w14:solidFill>
          </w14:textFill>
        </w:rPr>
        <w:t>学时。</w:t>
      </w:r>
    </w:p>
    <w:p>
      <w:pPr>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（1）</w:t>
      </w:r>
      <w:r>
        <w:rPr>
          <w:rFonts w:hint="eastAsia" w:ascii="宋体" w:hAnsi="宋体" w:cs="Angsana New"/>
          <w:sz w:val="24"/>
          <w:szCs w:val="24"/>
          <w:lang w:bidi="th-TH"/>
        </w:rPr>
        <w:t>文化素养课程平台：按照党和国家有关文件规定，根据人才培养目标要求，设置</w:t>
      </w:r>
      <w:r>
        <w:rPr>
          <w:rFonts w:hint="eastAsia" w:ascii="宋体" w:hAnsi="宋体" w:cs="Angsana New"/>
          <w:bCs/>
          <w:sz w:val="24"/>
          <w:szCs w:val="24"/>
          <w:lang w:bidi="th-TH"/>
        </w:rPr>
        <w:t>文化素养类</w:t>
      </w:r>
      <w:r>
        <w:rPr>
          <w:rFonts w:hint="eastAsia" w:ascii="宋体" w:hAnsi="宋体" w:cs="Angsana New"/>
          <w:sz w:val="24"/>
          <w:szCs w:val="24"/>
          <w:lang w:bidi="th-TH"/>
        </w:rPr>
        <w:t>公共必修课程，包括思品修养、基础素养、健康素养、美育素养、劳动素养和职业素养六个模块（见表3）</w:t>
      </w:r>
    </w:p>
    <w:p>
      <w:pPr>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p>
    <w:p>
      <w:pPr>
        <w:adjustRightInd w:val="0"/>
        <w:snapToGrid w:val="0"/>
        <w:spacing w:line="360" w:lineRule="auto"/>
        <w:jc w:val="center"/>
        <w:rPr>
          <w:rFonts w:ascii="宋体" w:hAnsi="宋体" w:cs="Angsana New"/>
          <w:b/>
          <w:color w:val="000000" w:themeColor="text1"/>
          <w:szCs w:val="21"/>
          <w:lang w:bidi="th-TH"/>
          <w14:textFill>
            <w14:solidFill>
              <w14:schemeClr w14:val="tx1"/>
            </w14:solidFill>
          </w14:textFill>
        </w:rPr>
      </w:pPr>
      <w:r>
        <w:rPr>
          <w:rFonts w:hint="eastAsia" w:ascii="宋体" w:hAnsi="宋体" w:cs="Angsana New"/>
          <w:b/>
          <w:color w:val="000000" w:themeColor="text1"/>
          <w:szCs w:val="21"/>
          <w:lang w:bidi="th-TH"/>
          <w14:textFill>
            <w14:solidFill>
              <w14:schemeClr w14:val="tx1"/>
            </w14:solidFill>
          </w14:textFill>
        </w:rPr>
        <w:t>表3  文化素养课程</w:t>
      </w:r>
    </w:p>
    <w:tbl>
      <w:tblPr>
        <w:tblStyle w:val="13"/>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693"/>
        <w:gridCol w:w="680"/>
        <w:gridCol w:w="886"/>
        <w:gridCol w:w="671"/>
        <w:gridCol w:w="686"/>
        <w:gridCol w:w="880"/>
        <w:gridCol w:w="1536"/>
      </w:tblGrid>
      <w:tr>
        <w:trPr>
          <w:trHeight w:val="794" w:hRule="atLeast"/>
          <w:jc w:val="center"/>
        </w:trPr>
        <w:tc>
          <w:tcPr>
            <w:tcW w:w="991" w:type="dxa"/>
            <w:vAlign w:val="center"/>
          </w:tcPr>
          <w:p>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类别</w:t>
            </w:r>
          </w:p>
        </w:tc>
        <w:tc>
          <w:tcPr>
            <w:tcW w:w="2693" w:type="dxa"/>
            <w:vAlign w:val="center"/>
          </w:tcPr>
          <w:p>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课程名称</w:t>
            </w:r>
          </w:p>
        </w:tc>
        <w:tc>
          <w:tcPr>
            <w:tcW w:w="680" w:type="dxa"/>
            <w:vAlign w:val="center"/>
          </w:tcPr>
          <w:p>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学分</w:t>
            </w:r>
          </w:p>
        </w:tc>
        <w:tc>
          <w:tcPr>
            <w:tcW w:w="886" w:type="dxa"/>
            <w:vAlign w:val="center"/>
          </w:tcPr>
          <w:p>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总学时</w:t>
            </w:r>
          </w:p>
        </w:tc>
        <w:tc>
          <w:tcPr>
            <w:tcW w:w="671" w:type="dxa"/>
            <w:vAlign w:val="center"/>
          </w:tcPr>
          <w:p>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课程类别</w:t>
            </w:r>
          </w:p>
        </w:tc>
        <w:tc>
          <w:tcPr>
            <w:tcW w:w="686" w:type="dxa"/>
            <w:vAlign w:val="center"/>
          </w:tcPr>
          <w:p>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考核方式</w:t>
            </w:r>
          </w:p>
        </w:tc>
        <w:tc>
          <w:tcPr>
            <w:tcW w:w="880" w:type="dxa"/>
            <w:vAlign w:val="center"/>
          </w:tcPr>
          <w:p>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开设</w:t>
            </w:r>
          </w:p>
          <w:p>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学期</w:t>
            </w:r>
          </w:p>
        </w:tc>
        <w:tc>
          <w:tcPr>
            <w:tcW w:w="1536" w:type="dxa"/>
            <w:vAlign w:val="center"/>
          </w:tcPr>
          <w:p>
            <w:pPr>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开课部门</w:t>
            </w:r>
          </w:p>
        </w:tc>
      </w:tr>
      <w:tr>
        <w:trPr>
          <w:trHeight w:val="454" w:hRule="atLeast"/>
          <w:jc w:val="center"/>
        </w:trPr>
        <w:tc>
          <w:tcPr>
            <w:tcW w:w="991" w:type="dxa"/>
            <w:vMerge w:val="restart"/>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思品</w:t>
            </w:r>
          </w:p>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修养</w:t>
            </w: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思想道德与法治</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48</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trPr>
          <w:trHeight w:val="79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习近平新时代中国特色社会主义思想概论</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pPr>
              <w:jc w:val="center"/>
              <w:rPr>
                <w:rFonts w:asciiTheme="minorEastAsia" w:hAnsiTheme="minorEastAsia" w:eastAsiaTheme="minorEastAsia" w:cstheme="minorEastAsia"/>
                <w:szCs w:val="21"/>
              </w:rPr>
            </w:pPr>
          </w:p>
        </w:tc>
      </w:tr>
      <w:tr>
        <w:trPr>
          <w:trHeight w:val="79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毛泽东思想和中国特色社会主义理论体系概论</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3</w:t>
            </w:r>
          </w:p>
        </w:tc>
        <w:tc>
          <w:tcPr>
            <w:tcW w:w="1536" w:type="dxa"/>
            <w:vMerge w:val="continue"/>
            <w:vAlign w:val="center"/>
          </w:tcPr>
          <w:p>
            <w:pPr>
              <w:jc w:val="center"/>
              <w:rPr>
                <w:rFonts w:asciiTheme="minorEastAsia" w:hAnsiTheme="minorEastAsia" w:eastAsiaTheme="minorEastAsia" w:cstheme="minorEastAsia"/>
                <w:szCs w:val="21"/>
              </w:rPr>
            </w:pPr>
          </w:p>
        </w:tc>
      </w:tr>
      <w:tr>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形势与政策（一）</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pPr>
              <w:jc w:val="center"/>
              <w:rPr>
                <w:rFonts w:asciiTheme="minorEastAsia" w:hAnsiTheme="minorEastAsia" w:eastAsiaTheme="minorEastAsia" w:cstheme="minorEastAsia"/>
                <w:szCs w:val="21"/>
              </w:rPr>
            </w:pPr>
          </w:p>
        </w:tc>
      </w:tr>
      <w:tr>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形势与政策（二）</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pPr>
              <w:jc w:val="center"/>
              <w:rPr>
                <w:rFonts w:asciiTheme="minorEastAsia" w:hAnsiTheme="minorEastAsia" w:eastAsiaTheme="minorEastAsia" w:cstheme="minorEastAsia"/>
                <w:szCs w:val="21"/>
              </w:rPr>
            </w:pPr>
          </w:p>
        </w:tc>
      </w:tr>
      <w:tr>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形势与政策（三）</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3</w:t>
            </w:r>
          </w:p>
        </w:tc>
        <w:tc>
          <w:tcPr>
            <w:tcW w:w="1536" w:type="dxa"/>
            <w:vMerge w:val="continue"/>
            <w:vAlign w:val="center"/>
          </w:tcPr>
          <w:p>
            <w:pPr>
              <w:jc w:val="center"/>
              <w:rPr>
                <w:rFonts w:asciiTheme="minorEastAsia" w:hAnsiTheme="minorEastAsia" w:eastAsiaTheme="minorEastAsia" w:cstheme="minorEastAsia"/>
                <w:szCs w:val="21"/>
              </w:rPr>
            </w:pPr>
          </w:p>
        </w:tc>
      </w:tr>
      <w:tr>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形势与政策（四）</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4</w:t>
            </w:r>
          </w:p>
        </w:tc>
        <w:tc>
          <w:tcPr>
            <w:tcW w:w="1536" w:type="dxa"/>
            <w:vMerge w:val="continue"/>
            <w:vAlign w:val="center"/>
          </w:tcPr>
          <w:p>
            <w:pPr>
              <w:jc w:val="center"/>
              <w:rPr>
                <w:rFonts w:asciiTheme="minorEastAsia" w:hAnsiTheme="minorEastAsia" w:eastAsiaTheme="minorEastAsia" w:cstheme="minorEastAsia"/>
                <w:szCs w:val="21"/>
              </w:rPr>
            </w:pPr>
          </w:p>
        </w:tc>
      </w:tr>
      <w:tr>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FF0000"/>
                <w:kern w:val="2"/>
                <w:sz w:val="16"/>
                <w:szCs w:val="16"/>
                <w:u w:val="none"/>
                <w:lang w:val="en-US" w:eastAsia="zh-CN" w:bidi="ar-SA"/>
              </w:rPr>
            </w:pPr>
            <w:r>
              <w:rPr>
                <w:rFonts w:hint="eastAsia" w:asciiTheme="minorEastAsia" w:hAnsiTheme="minorEastAsia" w:eastAsiaTheme="minorEastAsia" w:cstheme="minorEastAsia"/>
                <w:color w:val="000000"/>
                <w:szCs w:val="21"/>
                <w:lang w:val="en-US" w:eastAsia="zh-CN"/>
              </w:rPr>
              <w:t>国家安全教育</w:t>
            </w:r>
          </w:p>
        </w:tc>
        <w:tc>
          <w:tcPr>
            <w:tcW w:w="680" w:type="dxa"/>
            <w:shd w:val="clear" w:color="000000" w:fill="FFFFFF"/>
            <w:vAlign w:val="center"/>
          </w:tcPr>
          <w:p>
            <w:pPr>
              <w:spacing w:line="320" w:lineRule="exact"/>
              <w:jc w:val="center"/>
              <w:rPr>
                <w:rFonts w:hint="eastAsia"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w:t>
            </w:r>
          </w:p>
        </w:tc>
        <w:tc>
          <w:tcPr>
            <w:tcW w:w="886" w:type="dxa"/>
            <w:shd w:val="clear" w:color="000000" w:fill="FFFFFF"/>
            <w:vAlign w:val="center"/>
          </w:tcPr>
          <w:p>
            <w:pPr>
              <w:spacing w:line="320" w:lineRule="exact"/>
              <w:jc w:val="center"/>
              <w:rPr>
                <w:rFonts w:hint="eastAsia"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2</w:t>
            </w:r>
          </w:p>
        </w:tc>
        <w:tc>
          <w:tcPr>
            <w:tcW w:w="671" w:type="dxa"/>
            <w:shd w:val="clear" w:color="000000" w:fill="FFFFFF"/>
            <w:vAlign w:val="center"/>
          </w:tcPr>
          <w:p>
            <w:pPr>
              <w:spacing w:line="320" w:lineRule="exact"/>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A</w:t>
            </w:r>
          </w:p>
        </w:tc>
        <w:tc>
          <w:tcPr>
            <w:tcW w:w="686" w:type="dxa"/>
            <w:vAlign w:val="center"/>
          </w:tcPr>
          <w:p>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1</w:t>
            </w:r>
          </w:p>
        </w:tc>
        <w:tc>
          <w:tcPr>
            <w:tcW w:w="1536" w:type="dxa"/>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军事理论</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36</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pPr>
              <w:spacing w:line="240" w:lineRule="exact"/>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武装部</w:t>
            </w:r>
          </w:p>
        </w:tc>
      </w:tr>
      <w:tr>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军事技能</w:t>
            </w:r>
          </w:p>
        </w:tc>
        <w:tc>
          <w:tcPr>
            <w:tcW w:w="680" w:type="dxa"/>
            <w:shd w:val="clear" w:color="000000" w:fill="FFFFFF"/>
            <w:vAlign w:val="center"/>
          </w:tcPr>
          <w:p>
            <w:pPr>
              <w:spacing w:line="320" w:lineRule="exact"/>
              <w:jc w:val="center"/>
              <w:rPr>
                <w:rFonts w:hint="eastAsia" w:asciiTheme="minorEastAsia" w:hAnsiTheme="minorEastAsia" w:eastAsiaTheme="minorEastAsia" w:cstheme="minorEastAsia"/>
                <w:bCs/>
                <w:color w:val="000000"/>
                <w:szCs w:val="21"/>
                <w:lang w:eastAsia="zh-CN"/>
              </w:rPr>
            </w:pPr>
            <w:r>
              <w:rPr>
                <w:rFonts w:hint="eastAsia" w:asciiTheme="minorEastAsia" w:hAnsiTheme="minorEastAsia" w:eastAsiaTheme="minorEastAsia" w:cstheme="minorEastAsia"/>
                <w:bCs/>
                <w:color w:val="000000"/>
                <w:szCs w:val="21"/>
                <w:lang w:val="en-US" w:eastAsia="zh-CN"/>
              </w:rPr>
              <w:t>3</w:t>
            </w:r>
          </w:p>
        </w:tc>
        <w:tc>
          <w:tcPr>
            <w:tcW w:w="886" w:type="dxa"/>
            <w:shd w:val="clear" w:color="000000" w:fill="FFFFFF"/>
            <w:vAlign w:val="center"/>
          </w:tcPr>
          <w:p>
            <w:pPr>
              <w:spacing w:line="320" w:lineRule="exact"/>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rPr>
              <w:t>1</w:t>
            </w:r>
            <w:r>
              <w:rPr>
                <w:rFonts w:hint="eastAsia" w:asciiTheme="minorEastAsia" w:hAnsiTheme="minorEastAsia" w:eastAsiaTheme="minorEastAsia" w:cstheme="minorEastAsia"/>
                <w:bCs/>
                <w:color w:val="000000"/>
                <w:szCs w:val="21"/>
                <w:lang w:val="en-US" w:eastAsia="zh-CN"/>
              </w:rPr>
              <w:t>08</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tabs>
                <w:tab w:val="left" w:pos="540"/>
              </w:tabs>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pPr>
              <w:jc w:val="center"/>
              <w:rPr>
                <w:rFonts w:asciiTheme="minorEastAsia" w:hAnsiTheme="minorEastAsia" w:eastAsiaTheme="minorEastAsia" w:cstheme="minorEastAsia"/>
                <w:szCs w:val="21"/>
              </w:rPr>
            </w:pPr>
          </w:p>
        </w:tc>
      </w:tr>
      <w:tr>
        <w:trPr>
          <w:trHeight w:val="454" w:hRule="atLeast"/>
          <w:jc w:val="center"/>
        </w:trPr>
        <w:tc>
          <w:tcPr>
            <w:tcW w:w="991" w:type="dxa"/>
            <w:vMerge w:val="restart"/>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基础</w:t>
            </w:r>
          </w:p>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pPr>
              <w:spacing w:line="32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b w:val="0"/>
                <w:bCs w:val="0"/>
                <w:color w:val="auto"/>
                <w:szCs w:val="21"/>
                <w:lang w:val="en-US" w:eastAsia="zh-CN"/>
              </w:rPr>
              <w:t>人工智能导论</w:t>
            </w:r>
          </w:p>
        </w:tc>
        <w:tc>
          <w:tcPr>
            <w:tcW w:w="680" w:type="dxa"/>
            <w:shd w:val="clear" w:color="000000" w:fill="FFFFFF"/>
            <w:vAlign w:val="center"/>
          </w:tcPr>
          <w:p>
            <w:pPr>
              <w:spacing w:line="320" w:lineRule="exact"/>
              <w:jc w:val="center"/>
              <w:rPr>
                <w:rFonts w:hint="eastAsia"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w:t>
            </w:r>
          </w:p>
        </w:tc>
        <w:tc>
          <w:tcPr>
            <w:tcW w:w="886" w:type="dxa"/>
            <w:shd w:val="clear" w:color="000000" w:fill="FFFFFF"/>
            <w:vAlign w:val="center"/>
          </w:tcPr>
          <w:p>
            <w:pPr>
              <w:spacing w:line="320" w:lineRule="exact"/>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16</w:t>
            </w:r>
          </w:p>
        </w:tc>
        <w:tc>
          <w:tcPr>
            <w:tcW w:w="671" w:type="dxa"/>
            <w:shd w:val="clear" w:color="000000" w:fill="FFFFFF"/>
            <w:vAlign w:val="center"/>
          </w:tcPr>
          <w:p>
            <w:pPr>
              <w:spacing w:line="320" w:lineRule="exact"/>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B</w:t>
            </w:r>
          </w:p>
        </w:tc>
        <w:tc>
          <w:tcPr>
            <w:tcW w:w="686" w:type="dxa"/>
            <w:vAlign w:val="center"/>
          </w:tcPr>
          <w:p>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信息技术</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大学英语（一）</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通识教育中心</w:t>
            </w:r>
          </w:p>
        </w:tc>
      </w:tr>
      <w:tr>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大学英语（二）</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pPr>
              <w:jc w:val="center"/>
              <w:rPr>
                <w:rFonts w:asciiTheme="minorEastAsia" w:hAnsiTheme="minorEastAsia" w:eastAsiaTheme="minorEastAsia" w:cstheme="minorEastAsia"/>
                <w:szCs w:val="21"/>
              </w:rPr>
            </w:pPr>
          </w:p>
        </w:tc>
      </w:tr>
      <w:tr>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themeColor="text1"/>
                <w:szCs w:val="21"/>
                <w14:textFill>
                  <w14:solidFill>
                    <w14:schemeClr w14:val="tx1"/>
                  </w14:solidFill>
                </w14:textFill>
              </w:rPr>
              <w:t>大学语文（一）</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Merge w:val="continue"/>
            <w:vAlign w:val="center"/>
          </w:tcPr>
          <w:p>
            <w:pPr>
              <w:jc w:val="center"/>
              <w:rPr>
                <w:rFonts w:asciiTheme="minorEastAsia" w:hAnsiTheme="minorEastAsia" w:eastAsiaTheme="minorEastAsia" w:cstheme="minorEastAsia"/>
                <w:szCs w:val="21"/>
              </w:rPr>
            </w:pPr>
          </w:p>
        </w:tc>
      </w:tr>
      <w:tr>
        <w:trPr>
          <w:trHeight w:val="454" w:hRule="atLeast"/>
          <w:jc w:val="center"/>
        </w:trPr>
        <w:tc>
          <w:tcPr>
            <w:tcW w:w="991" w:type="dxa"/>
            <w:vMerge w:val="restart"/>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健康</w:t>
            </w:r>
          </w:p>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大学体育（一）</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教育体育学院</w:t>
            </w:r>
          </w:p>
        </w:tc>
      </w:tr>
      <w:tr>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大学体育（二）</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pPr>
              <w:jc w:val="center"/>
              <w:rPr>
                <w:rFonts w:asciiTheme="minorEastAsia" w:hAnsiTheme="minorEastAsia" w:eastAsiaTheme="minorEastAsia" w:cstheme="minorEastAsia"/>
                <w:szCs w:val="21"/>
              </w:rPr>
            </w:pPr>
          </w:p>
        </w:tc>
      </w:tr>
      <w:tr>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体育专项（</w:t>
            </w:r>
            <w:r>
              <w:rPr>
                <w:rFonts w:hint="eastAsia" w:asciiTheme="minorEastAsia" w:hAnsiTheme="minorEastAsia" w:eastAsiaTheme="minorEastAsia" w:cstheme="minorEastAsia"/>
                <w:szCs w:val="21"/>
              </w:rPr>
              <w:t>限选1门）</w:t>
            </w:r>
          </w:p>
        </w:tc>
        <w:tc>
          <w:tcPr>
            <w:tcW w:w="680"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4</w:t>
            </w:r>
          </w:p>
        </w:tc>
        <w:tc>
          <w:tcPr>
            <w:tcW w:w="1536" w:type="dxa"/>
            <w:vMerge w:val="continue"/>
            <w:vAlign w:val="center"/>
          </w:tcPr>
          <w:p>
            <w:pPr>
              <w:jc w:val="center"/>
              <w:rPr>
                <w:rFonts w:asciiTheme="minorEastAsia" w:hAnsiTheme="minorEastAsia" w:eastAsiaTheme="minorEastAsia" w:cstheme="minorEastAsia"/>
                <w:color w:val="FF0000"/>
                <w:szCs w:val="21"/>
              </w:rPr>
            </w:pPr>
          </w:p>
        </w:tc>
      </w:tr>
      <w:tr>
        <w:trPr>
          <w:trHeight w:val="737"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心理健康教育</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trPr>
          <w:trHeight w:val="1134" w:hRule="atLeast"/>
          <w:jc w:val="center"/>
        </w:trPr>
        <w:tc>
          <w:tcPr>
            <w:tcW w:w="99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美育</w:t>
            </w:r>
          </w:p>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美学和艺术史论类、艺术鉴赏和评论类、艺术体验和实践类（</w:t>
            </w:r>
            <w:r>
              <w:rPr>
                <w:rFonts w:hint="eastAsia" w:asciiTheme="minorEastAsia" w:hAnsiTheme="minorEastAsia" w:eastAsiaTheme="minorEastAsia" w:cstheme="minorEastAsia"/>
                <w:szCs w:val="21"/>
              </w:rPr>
              <w:t>限选1门）</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pPr>
              <w:jc w:val="center"/>
              <w:rPr>
                <w:rFonts w:asciiTheme="minorEastAsia" w:hAnsiTheme="minorEastAsia" w:eastAsiaTheme="minorEastAsia" w:cstheme="minorEastAsia"/>
                <w:color w:val="FF0000"/>
                <w:szCs w:val="21"/>
              </w:rPr>
            </w:pPr>
            <w:r>
              <w:rPr>
                <w:rFonts w:hint="eastAsia" w:asciiTheme="majorEastAsia" w:hAnsiTheme="majorEastAsia" w:eastAsiaTheme="majorEastAsia" w:cstheme="majorEastAsia"/>
                <w:szCs w:val="21"/>
              </w:rPr>
              <w:t>艺术学院</w:t>
            </w:r>
          </w:p>
        </w:tc>
      </w:tr>
      <w:tr>
        <w:trPr>
          <w:trHeight w:val="454" w:hRule="atLeast"/>
          <w:jc w:val="center"/>
        </w:trPr>
        <w:tc>
          <w:tcPr>
            <w:tcW w:w="991" w:type="dxa"/>
            <w:vMerge w:val="restart"/>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劳动</w:t>
            </w:r>
          </w:p>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劳动（一）生活劳动</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劳动（二）公益劳动</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pPr>
              <w:rPr>
                <w:rFonts w:asciiTheme="minorEastAsia" w:hAnsiTheme="minorEastAsia" w:eastAsiaTheme="minorEastAsia" w:cstheme="minorEastAsia"/>
                <w:szCs w:val="21"/>
              </w:rPr>
            </w:pPr>
          </w:p>
        </w:tc>
      </w:tr>
      <w:tr>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劳动（三）专业劳动</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3</w:t>
            </w:r>
          </w:p>
        </w:tc>
        <w:tc>
          <w:tcPr>
            <w:tcW w:w="1536" w:type="dxa"/>
            <w:vMerge w:val="continue"/>
            <w:vAlign w:val="center"/>
          </w:tcPr>
          <w:p>
            <w:pPr>
              <w:rPr>
                <w:rFonts w:asciiTheme="minorEastAsia" w:hAnsiTheme="minorEastAsia" w:eastAsiaTheme="minorEastAsia" w:cstheme="minorEastAsia"/>
                <w:szCs w:val="21"/>
              </w:rPr>
            </w:pPr>
          </w:p>
        </w:tc>
      </w:tr>
      <w:tr>
        <w:trPr>
          <w:trHeight w:val="454" w:hRule="atLeast"/>
          <w:jc w:val="center"/>
        </w:trPr>
        <w:tc>
          <w:tcPr>
            <w:tcW w:w="991" w:type="dxa"/>
            <w:vMerge w:val="continue"/>
            <w:vAlign w:val="center"/>
          </w:tcPr>
          <w:p>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劳动（四）岗位劳动</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5</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6</w:t>
            </w:r>
          </w:p>
        </w:tc>
        <w:tc>
          <w:tcPr>
            <w:tcW w:w="1536" w:type="dxa"/>
            <w:vMerge w:val="continue"/>
            <w:vAlign w:val="center"/>
          </w:tcPr>
          <w:p>
            <w:pPr>
              <w:rPr>
                <w:rFonts w:asciiTheme="minorEastAsia" w:hAnsiTheme="minorEastAsia" w:eastAsiaTheme="minorEastAsia" w:cstheme="minorEastAsia"/>
                <w:szCs w:val="21"/>
              </w:rPr>
            </w:pPr>
          </w:p>
        </w:tc>
      </w:tr>
      <w:tr>
        <w:trPr>
          <w:trHeight w:val="454" w:hRule="atLeast"/>
          <w:jc w:val="center"/>
        </w:trPr>
        <w:tc>
          <w:tcPr>
            <w:tcW w:w="991" w:type="dxa"/>
            <w:vMerge w:val="restart"/>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职业</w:t>
            </w:r>
          </w:p>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职业生涯规划</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pPr>
              <w:jc w:val="center"/>
              <w:rPr>
                <w:rFonts w:hint="eastAsia" w:asciiTheme="minorEastAsia" w:hAnsiTheme="minorEastAsia" w:eastAsiaTheme="minorEastAsia" w:cstheme="minorEastAsia"/>
                <w:szCs w:val="21"/>
                <w:lang w:eastAsia="zh-CN"/>
              </w:rPr>
            </w:pPr>
            <w:r>
              <w:rPr>
                <w:rFonts w:hint="eastAsia" w:asciiTheme="majorEastAsia" w:hAnsiTheme="majorEastAsia" w:eastAsiaTheme="majorEastAsia" w:cstheme="majorEastAsia"/>
                <w:szCs w:val="21"/>
                <w:lang w:eastAsia="zh-CN"/>
              </w:rPr>
              <w:t>就业创业服务处</w:t>
            </w:r>
          </w:p>
        </w:tc>
      </w:tr>
      <w:tr>
        <w:trPr>
          <w:trHeight w:val="454" w:hRule="atLeast"/>
          <w:jc w:val="center"/>
        </w:trPr>
        <w:tc>
          <w:tcPr>
            <w:tcW w:w="991" w:type="dxa"/>
            <w:vMerge w:val="continue"/>
            <w:vAlign w:val="center"/>
          </w:tcPr>
          <w:p>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创新创业教育</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3</w:t>
            </w:r>
          </w:p>
        </w:tc>
        <w:tc>
          <w:tcPr>
            <w:tcW w:w="1536" w:type="dxa"/>
            <w:vMerge w:val="continue"/>
            <w:vAlign w:val="center"/>
          </w:tcPr>
          <w:p>
            <w:pPr>
              <w:rPr>
                <w:rFonts w:asciiTheme="minorEastAsia" w:hAnsiTheme="minorEastAsia" w:eastAsiaTheme="minorEastAsia" w:cstheme="minorEastAsia"/>
                <w:szCs w:val="21"/>
              </w:rPr>
            </w:pPr>
          </w:p>
        </w:tc>
      </w:tr>
      <w:tr>
        <w:trPr>
          <w:trHeight w:val="454" w:hRule="atLeast"/>
          <w:jc w:val="center"/>
        </w:trPr>
        <w:tc>
          <w:tcPr>
            <w:tcW w:w="991" w:type="dxa"/>
            <w:vMerge w:val="continue"/>
            <w:vAlign w:val="center"/>
          </w:tcPr>
          <w:p>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就业指导</w:t>
            </w:r>
          </w:p>
        </w:tc>
        <w:tc>
          <w:tcPr>
            <w:tcW w:w="680"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4</w:t>
            </w:r>
          </w:p>
        </w:tc>
        <w:tc>
          <w:tcPr>
            <w:tcW w:w="1536" w:type="dxa"/>
            <w:vMerge w:val="continue"/>
            <w:vAlign w:val="center"/>
          </w:tcPr>
          <w:p>
            <w:pPr>
              <w:rPr>
                <w:rFonts w:asciiTheme="minorEastAsia" w:hAnsiTheme="minorEastAsia" w:eastAsiaTheme="minorEastAsia" w:cstheme="minorEastAsia"/>
                <w:szCs w:val="21"/>
              </w:rPr>
            </w:pPr>
          </w:p>
        </w:tc>
      </w:tr>
    </w:tbl>
    <w:p>
      <w:pPr>
        <w:jc w:val="center"/>
        <w:rPr>
          <w:rFonts w:asciiTheme="minorEastAsia" w:hAnsiTheme="minorEastAsia" w:eastAsiaTheme="minorEastAsia"/>
          <w:b/>
          <w:szCs w:val="21"/>
        </w:rPr>
      </w:pPr>
    </w:p>
    <w:p>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th-TH"/>
        </w:rPr>
        <w:t>（2）</w:t>
      </w:r>
      <w:r>
        <w:rPr>
          <w:rFonts w:hint="eastAsia" w:asciiTheme="minorEastAsia" w:hAnsiTheme="minorEastAsia" w:eastAsiaTheme="minorEastAsia" w:cstheme="minorEastAsia"/>
          <w:sz w:val="24"/>
          <w:szCs w:val="24"/>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hint="eastAsia" w:asciiTheme="minorEastAsia" w:hAnsiTheme="minorEastAsia" w:eastAsiaTheme="minorEastAsia" w:cstheme="minorEastAsia"/>
          <w:sz w:val="24"/>
          <w:szCs w:val="24"/>
          <w:lang w:bidi="th-TH"/>
        </w:rPr>
        <w:t>，面向全校学生开设</w:t>
      </w:r>
      <w:r>
        <w:rPr>
          <w:rFonts w:hint="eastAsia" w:asciiTheme="minorEastAsia" w:hAnsiTheme="minorEastAsia" w:eastAsiaTheme="minorEastAsia" w:cstheme="minorEastAsia"/>
          <w:sz w:val="24"/>
          <w:szCs w:val="24"/>
        </w:rPr>
        <w:t>素质能力</w:t>
      </w:r>
      <w:r>
        <w:rPr>
          <w:rFonts w:hint="eastAsia" w:asciiTheme="minorEastAsia" w:hAnsiTheme="minorEastAsia" w:eastAsiaTheme="minorEastAsia" w:cstheme="minorEastAsia"/>
          <w:sz w:val="24"/>
          <w:szCs w:val="24"/>
          <w:lang w:bidi="th-TH"/>
        </w:rPr>
        <w:t>公共选修课程。采用“线上课程资源”和“线下课堂教学”相结合的方式开展。</w:t>
      </w:r>
      <w:r>
        <w:rPr>
          <w:rFonts w:hint="eastAsia" w:asciiTheme="minorEastAsia" w:hAnsiTheme="minorEastAsia" w:eastAsiaTheme="minorEastAsia" w:cstheme="minorEastAsia"/>
          <w:sz w:val="24"/>
          <w:szCs w:val="24"/>
        </w:rPr>
        <w:t>包括思想政治类、国防安全类、人文社科类、自然科学类、公共艺术类、语言文字类、身心健康类、专升本模块、创新创业类、线上资源类等课程</w:t>
      </w:r>
      <w:r>
        <w:rPr>
          <w:rFonts w:hint="eastAsia" w:asciiTheme="minorEastAsia" w:hAnsiTheme="minorEastAsia" w:eastAsiaTheme="minorEastAsia" w:cstheme="minorEastAsia"/>
          <w:sz w:val="24"/>
          <w:szCs w:val="24"/>
          <w:lang w:bidi="th-TH"/>
        </w:rPr>
        <w:t>，最低选修学分为8学分。</w:t>
      </w:r>
      <w:r>
        <w:rPr>
          <w:rFonts w:hint="eastAsia" w:asciiTheme="minorEastAsia" w:hAnsiTheme="minorEastAsia" w:eastAsiaTheme="minorEastAsia" w:cstheme="minorEastAsia"/>
          <w:sz w:val="24"/>
          <w:szCs w:val="24"/>
        </w:rPr>
        <w:t>其中创新创业类由各专业院系结合专业，以项目为载体、以实践活动为主要开展形式进行开发，每个项目以4学分计。</w:t>
      </w:r>
    </w:p>
    <w:p>
      <w:pPr>
        <w:spacing w:line="360" w:lineRule="auto"/>
        <w:ind w:firstLine="480" w:firstLineChars="20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专业（技能）课程</w:t>
      </w:r>
    </w:p>
    <w:p>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专业（技能）课程以工作过程为导向，按照“岗课赛证”融通的专业课程开发理念，融入课程思政，培养学生职业能力和职业精神。专业（技能）课程包括专业群课程平台、专业核心能力课程</w:t>
      </w:r>
      <w:bookmarkStart w:id="1" w:name="_Hlk133047727"/>
      <w:r>
        <w:rPr>
          <w:rFonts w:hint="eastAsia" w:ascii="宋体" w:hAnsi="宋体" w:cs="Angsana New"/>
          <w:sz w:val="24"/>
          <w:szCs w:val="24"/>
          <w:lang w:bidi="th-TH"/>
        </w:rPr>
        <w:t>模块</w:t>
      </w:r>
      <w:bookmarkEnd w:id="1"/>
      <w:r>
        <w:rPr>
          <w:rFonts w:hint="eastAsia" w:ascii="宋体" w:hAnsi="宋体" w:cs="Angsana New"/>
          <w:sz w:val="24"/>
          <w:szCs w:val="24"/>
          <w:lang w:bidi="th-TH"/>
        </w:rPr>
        <w:t>、专业实践课程</w:t>
      </w:r>
      <w:r>
        <w:rPr>
          <w:rFonts w:ascii="宋体" w:hAnsi="宋体" w:cs="Angsana New"/>
          <w:sz w:val="24"/>
          <w:szCs w:val="24"/>
          <w:lang w:bidi="th-TH"/>
        </w:rPr>
        <w:t>、</w:t>
      </w:r>
      <w:r>
        <w:rPr>
          <w:rFonts w:hint="eastAsia" w:ascii="宋体" w:hAnsi="宋体" w:cs="Angsana New"/>
          <w:sz w:val="24"/>
          <w:szCs w:val="24"/>
          <w:lang w:bidi="th-TH"/>
        </w:rPr>
        <w:t>专业拓展选修课程模块四部分（见表4）。</w:t>
      </w:r>
    </w:p>
    <w:p>
      <w:pPr>
        <w:spacing w:line="360" w:lineRule="auto"/>
        <w:ind w:firstLine="480" w:firstLineChars="200"/>
        <w:rPr>
          <w:rFonts w:hint="eastAsia" w:ascii="宋体" w:hAnsi="宋体" w:cs="Angsana New"/>
          <w:sz w:val="24"/>
          <w:szCs w:val="24"/>
          <w:highlight w:val="yellow"/>
          <w:lang w:bidi="th-TH"/>
        </w:rPr>
      </w:pPr>
      <w:r>
        <w:rPr>
          <w:rFonts w:hint="eastAsia" w:ascii="宋体" w:hAnsi="宋体" w:cs="Angsana New"/>
          <w:sz w:val="24"/>
          <w:szCs w:val="24"/>
          <w:highlight w:val="yellow"/>
          <w:lang w:bidi="th-TH"/>
        </w:rPr>
        <w:t>本专业总学时</w:t>
      </w:r>
      <w:r>
        <w:rPr>
          <w:rFonts w:ascii="宋体" w:hAnsi="宋体" w:cs="Angsana New"/>
          <w:sz w:val="24"/>
          <w:szCs w:val="24"/>
          <w:highlight w:val="yellow"/>
          <w:lang w:bidi="th-TH"/>
        </w:rPr>
        <w:t>26</w:t>
      </w:r>
      <w:r>
        <w:rPr>
          <w:rFonts w:hint="eastAsia" w:ascii="宋体" w:hAnsi="宋体" w:cs="Angsana New"/>
          <w:sz w:val="24"/>
          <w:szCs w:val="24"/>
          <w:highlight w:val="yellow"/>
          <w:lang w:val="en-US" w:eastAsia="zh-CN" w:bidi="th-TH"/>
        </w:rPr>
        <w:t>56</w:t>
      </w:r>
      <w:r>
        <w:rPr>
          <w:rFonts w:hint="eastAsia" w:ascii="宋体" w:hAnsi="宋体" w:cs="Angsana New"/>
          <w:sz w:val="24"/>
          <w:szCs w:val="24"/>
          <w:highlight w:val="yellow"/>
          <w:lang w:bidi="th-TH"/>
        </w:rPr>
        <w:t>，每16学时折算1学分，学年周数 40 周，开设专业群平台课程8</w:t>
      </w:r>
      <w:r>
        <w:rPr>
          <w:rFonts w:ascii="宋体" w:hAnsi="宋体" w:cs="Angsana New"/>
          <w:sz w:val="24"/>
          <w:szCs w:val="24"/>
          <w:highlight w:val="yellow"/>
          <w:lang w:bidi="th-TH"/>
        </w:rPr>
        <w:t>门</w:t>
      </w:r>
      <w:r>
        <w:rPr>
          <w:rFonts w:hint="eastAsia" w:ascii="宋体" w:hAnsi="宋体" w:cs="Angsana New"/>
          <w:sz w:val="24"/>
          <w:szCs w:val="24"/>
          <w:highlight w:val="yellow"/>
          <w:lang w:bidi="th-TH"/>
        </w:rPr>
        <w:t>，专业群平台课程5</w:t>
      </w:r>
      <w:r>
        <w:rPr>
          <w:rFonts w:hint="eastAsia" w:ascii="宋体" w:hAnsi="宋体" w:cs="Angsana New"/>
          <w:sz w:val="24"/>
          <w:szCs w:val="24"/>
          <w:highlight w:val="yellow"/>
          <w:lang w:val="en-US" w:eastAsia="zh-CN" w:bidi="th-TH"/>
        </w:rPr>
        <w:t>12</w:t>
      </w:r>
      <w:r>
        <w:rPr>
          <w:rFonts w:hint="eastAsia" w:ascii="宋体" w:hAnsi="宋体" w:cs="Angsana New"/>
          <w:sz w:val="24"/>
          <w:szCs w:val="24"/>
          <w:highlight w:val="yellow"/>
          <w:lang w:bidi="th-TH"/>
        </w:rPr>
        <w:t>学时；专业核心课程</w:t>
      </w:r>
      <w:r>
        <w:rPr>
          <w:rFonts w:hint="eastAsia" w:ascii="宋体" w:hAnsi="宋体" w:cs="Angsana New"/>
          <w:sz w:val="24"/>
          <w:szCs w:val="24"/>
          <w:highlight w:val="yellow"/>
          <w:lang w:val="en-US" w:eastAsia="zh-CN" w:bidi="th-TH"/>
        </w:rPr>
        <w:t>6</w:t>
      </w:r>
      <w:r>
        <w:rPr>
          <w:rFonts w:ascii="宋体" w:hAnsi="宋体" w:cs="Angsana New"/>
          <w:sz w:val="24"/>
          <w:szCs w:val="24"/>
          <w:highlight w:val="yellow"/>
          <w:lang w:bidi="th-TH"/>
        </w:rPr>
        <w:t>门，</w:t>
      </w:r>
      <w:r>
        <w:rPr>
          <w:rFonts w:hint="eastAsia" w:ascii="宋体" w:hAnsi="宋体" w:cs="Angsana New"/>
          <w:sz w:val="24"/>
          <w:szCs w:val="24"/>
          <w:highlight w:val="yellow"/>
          <w:lang w:bidi="th-TH"/>
        </w:rPr>
        <w:t>专业核心课程</w:t>
      </w:r>
      <w:r>
        <w:rPr>
          <w:rFonts w:hint="eastAsia" w:ascii="宋体" w:hAnsi="宋体" w:cs="Angsana New"/>
          <w:sz w:val="24"/>
          <w:szCs w:val="24"/>
          <w:highlight w:val="yellow"/>
          <w:lang w:val="en-US" w:eastAsia="zh-CN" w:bidi="th-TH"/>
        </w:rPr>
        <w:t>352</w:t>
      </w:r>
      <w:r>
        <w:rPr>
          <w:rFonts w:hint="eastAsia" w:ascii="宋体" w:hAnsi="宋体" w:cs="Angsana New"/>
          <w:sz w:val="24"/>
          <w:szCs w:val="24"/>
          <w:highlight w:val="yellow"/>
          <w:lang w:bidi="th-TH"/>
        </w:rPr>
        <w:t>学时；实践性教学</w:t>
      </w:r>
      <w:r>
        <w:rPr>
          <w:rFonts w:hint="eastAsia" w:ascii="宋体" w:hAnsi="宋体" w:cs="Angsana New"/>
          <w:sz w:val="24"/>
          <w:szCs w:val="24"/>
          <w:highlight w:val="yellow"/>
          <w:lang w:val="en-US" w:eastAsia="zh-CN" w:bidi="th-TH"/>
        </w:rPr>
        <w:t>704</w:t>
      </w:r>
      <w:r>
        <w:rPr>
          <w:rFonts w:hint="eastAsia" w:ascii="宋体" w:hAnsi="宋体" w:cs="Angsana New"/>
          <w:sz w:val="24"/>
          <w:szCs w:val="24"/>
          <w:highlight w:val="yellow"/>
          <w:lang w:bidi="th-TH"/>
        </w:rPr>
        <w:t>学时、岗位实习</w:t>
      </w:r>
      <w:r>
        <w:rPr>
          <w:rFonts w:hint="eastAsia" w:ascii="宋体" w:hAnsi="宋体" w:cs="Angsana New"/>
          <w:sz w:val="24"/>
          <w:szCs w:val="24"/>
          <w:highlight w:val="yellow"/>
          <w:lang w:val="en-US" w:eastAsia="zh-CN" w:bidi="th-TH"/>
        </w:rPr>
        <w:t>3个月</w:t>
      </w:r>
      <w:r>
        <w:rPr>
          <w:rFonts w:hint="eastAsia" w:ascii="宋体" w:hAnsi="宋体" w:cs="Angsana New"/>
          <w:sz w:val="24"/>
          <w:szCs w:val="24"/>
          <w:highlight w:val="yellow"/>
          <w:lang w:bidi="th-TH"/>
        </w:rPr>
        <w:t>、岗位实习开展学期</w:t>
      </w:r>
      <w:r>
        <w:rPr>
          <w:rFonts w:hint="eastAsia" w:ascii="宋体" w:hAnsi="宋体" w:cs="Angsana New"/>
          <w:sz w:val="24"/>
          <w:szCs w:val="24"/>
          <w:highlight w:val="yellow"/>
          <w:lang w:val="en-US" w:eastAsia="zh-CN" w:bidi="th-TH"/>
        </w:rPr>
        <w:t>第5</w:t>
      </w:r>
      <w:r>
        <w:rPr>
          <w:rFonts w:hint="eastAsia" w:ascii="宋体" w:hAnsi="宋体" w:cs="Angsana New"/>
          <w:sz w:val="24"/>
          <w:szCs w:val="24"/>
          <w:highlight w:val="yellow"/>
          <w:lang w:bidi="th-TH"/>
        </w:rPr>
        <w:t>学期，岗位实习无特殊要求，</w:t>
      </w:r>
      <w:r>
        <w:rPr>
          <w:rFonts w:hint="eastAsia" w:ascii="宋体" w:hAnsi="宋体" w:cs="Angsana New"/>
          <w:color w:val="000000" w:themeColor="text1"/>
          <w:sz w:val="24"/>
          <w:szCs w:val="24"/>
          <w:highlight w:val="yellow"/>
          <w:lang w:bidi="th-TH"/>
          <w14:textFill>
            <w14:solidFill>
              <w14:schemeClr w14:val="tx1"/>
            </w14:solidFill>
          </w14:textFill>
        </w:rPr>
        <w:t>军训</w:t>
      </w:r>
      <w:r>
        <w:rPr>
          <w:rFonts w:ascii="宋体" w:hAnsi="宋体" w:cs="Angsana New"/>
          <w:color w:val="000000" w:themeColor="text1"/>
          <w:sz w:val="24"/>
          <w:szCs w:val="24"/>
          <w:highlight w:val="yellow"/>
          <w:lang w:bidi="th-TH"/>
          <w14:textFill>
            <w14:solidFill>
              <w14:schemeClr w14:val="tx1"/>
            </w14:solidFill>
          </w14:textFill>
        </w:rPr>
        <w:t>3</w:t>
      </w:r>
      <w:r>
        <w:rPr>
          <w:rFonts w:hint="eastAsia" w:ascii="宋体" w:hAnsi="宋体" w:cs="Angsana New"/>
          <w:color w:val="000000" w:themeColor="text1"/>
          <w:sz w:val="24"/>
          <w:szCs w:val="24"/>
          <w:highlight w:val="yellow"/>
          <w:lang w:bidi="th-TH"/>
          <w14:textFill>
            <w14:solidFill>
              <w14:schemeClr w14:val="tx1"/>
            </w14:solidFill>
          </w14:textFill>
        </w:rPr>
        <w:t>周</w:t>
      </w:r>
      <w:r>
        <w:rPr>
          <w:rFonts w:hint="eastAsia" w:ascii="宋体" w:hAnsi="宋体" w:cs="Angsana New"/>
          <w:sz w:val="24"/>
          <w:szCs w:val="24"/>
          <w:highlight w:val="yellow"/>
          <w:lang w:bidi="th-TH"/>
        </w:rPr>
        <w:t>。</w:t>
      </w:r>
    </w:p>
    <w:p>
      <w:pPr>
        <w:rPr>
          <w:rFonts w:hint="eastAsia" w:ascii="宋体" w:hAnsi="宋体" w:cs="Angsana New"/>
          <w:b/>
          <w:szCs w:val="21"/>
          <w:lang w:bidi="th-TH"/>
        </w:rPr>
      </w:pPr>
      <w:r>
        <w:rPr>
          <w:rFonts w:hint="eastAsia" w:ascii="宋体" w:hAnsi="宋体" w:cs="Angsana New"/>
          <w:b/>
          <w:szCs w:val="21"/>
          <w:lang w:bidi="th-TH"/>
        </w:rPr>
        <w:br w:type="page"/>
      </w:r>
    </w:p>
    <w:p>
      <w:pPr>
        <w:spacing w:line="360" w:lineRule="auto"/>
        <w:ind w:firstLine="420" w:firstLineChars="200"/>
        <w:jc w:val="center"/>
        <w:rPr>
          <w:rFonts w:hint="eastAsia" w:ascii="宋体" w:hAnsi="宋体" w:cs="Angsana New"/>
          <w:b/>
          <w:szCs w:val="21"/>
          <w:lang w:bidi="th-TH"/>
        </w:rPr>
        <w:sectPr>
          <w:pgSz w:w="11906" w:h="16838"/>
          <w:pgMar w:top="1417" w:right="1701" w:bottom="1417" w:left="1701" w:header="851" w:footer="992" w:gutter="0"/>
          <w:cols w:space="0" w:num="1"/>
          <w:docGrid w:type="lines" w:linePitch="312" w:charSpace="0"/>
        </w:sectPr>
      </w:pPr>
    </w:p>
    <w:p>
      <w:pPr>
        <w:spacing w:line="360" w:lineRule="auto"/>
        <w:ind w:firstLine="420" w:firstLineChars="200"/>
        <w:jc w:val="center"/>
        <w:rPr>
          <w:rFonts w:hint="default" w:ascii="宋体" w:hAnsi="宋体" w:eastAsia="宋体" w:cs="Angsana New"/>
          <w:b/>
          <w:szCs w:val="21"/>
          <w:lang w:val="en-US" w:eastAsia="zh-CN" w:bidi="th-TH"/>
        </w:rPr>
      </w:pPr>
      <w:r>
        <w:rPr>
          <w:rFonts w:hint="eastAsia" w:ascii="宋体" w:hAnsi="宋体" w:cs="Angsana New"/>
          <w:b/>
          <w:szCs w:val="21"/>
          <w:lang w:val="en-US" w:eastAsia="zh-CN" w:bidi="th-TH"/>
        </w:rPr>
        <w:t>表4 专业技能课程</w:t>
      </w:r>
    </w:p>
    <w:tbl>
      <w:tblPr>
        <w:tblStyle w:val="12"/>
        <w:tblpPr w:leftFromText="180" w:rightFromText="180" w:vertAnchor="text" w:horzAnchor="page" w:tblpX="1421" w:tblpY="408"/>
        <w:tblOverlap w:val="never"/>
        <w:tblW w:w="14229" w:type="dxa"/>
        <w:tblInd w:w="0" w:type="dxa"/>
        <w:tblLayout w:type="autofit"/>
        <w:tblCellMar>
          <w:top w:w="0" w:type="dxa"/>
          <w:left w:w="108" w:type="dxa"/>
          <w:bottom w:w="0" w:type="dxa"/>
          <w:right w:w="108" w:type="dxa"/>
        </w:tblCellMar>
      </w:tblPr>
      <w:tblGrid>
        <w:gridCol w:w="531"/>
        <w:gridCol w:w="1375"/>
        <w:gridCol w:w="1529"/>
        <w:gridCol w:w="555"/>
        <w:gridCol w:w="555"/>
        <w:gridCol w:w="427"/>
        <w:gridCol w:w="699"/>
        <w:gridCol w:w="427"/>
        <w:gridCol w:w="531"/>
        <w:gridCol w:w="626"/>
        <w:gridCol w:w="659"/>
        <w:gridCol w:w="636"/>
        <w:gridCol w:w="2513"/>
        <w:gridCol w:w="3166"/>
      </w:tblGrid>
      <w:tr>
        <w:trPr>
          <w:trHeight w:val="1268" w:hRule="atLeast"/>
        </w:trPr>
        <w:tc>
          <w:tcPr>
            <w:tcW w:w="531"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类别</w:t>
            </w:r>
          </w:p>
        </w:tc>
        <w:tc>
          <w:tcPr>
            <w:tcW w:w="2904" w:type="dxa"/>
            <w:gridSpan w:val="2"/>
            <w:tcBorders>
              <w:top w:val="single" w:color="000000" w:sz="8" w:space="0"/>
              <w:left w:val="nil"/>
              <w:bottom w:val="single" w:color="000000" w:sz="8" w:space="0"/>
              <w:right w:val="single" w:color="000000" w:sz="8"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课程名称</w:t>
            </w:r>
          </w:p>
        </w:tc>
        <w:tc>
          <w:tcPr>
            <w:tcW w:w="555" w:type="dxa"/>
            <w:tcBorders>
              <w:top w:val="single" w:color="000000" w:sz="8" w:space="0"/>
              <w:left w:val="nil"/>
              <w:right w:val="single" w:color="000000" w:sz="8"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课程</w:t>
            </w:r>
          </w:p>
          <w:p>
            <w:pPr>
              <w:jc w:val="center"/>
              <w:rPr>
                <w:rFonts w:ascii="宋体" w:hAnsi="宋体" w:cs="宋体"/>
                <w:b/>
                <w:bCs/>
                <w:color w:val="000000"/>
                <w:kern w:val="0"/>
                <w:szCs w:val="21"/>
              </w:rPr>
            </w:pPr>
            <w:r>
              <w:rPr>
                <w:rFonts w:hint="eastAsia" w:ascii="宋体" w:hAnsi="宋体" w:cs="宋体"/>
                <w:b/>
                <w:bCs/>
                <w:color w:val="000000"/>
                <w:kern w:val="0"/>
                <w:szCs w:val="21"/>
              </w:rPr>
              <w:t>类型</w:t>
            </w:r>
          </w:p>
        </w:tc>
        <w:tc>
          <w:tcPr>
            <w:tcW w:w="555" w:type="dxa"/>
            <w:tcBorders>
              <w:top w:val="single" w:color="000000" w:sz="8" w:space="0"/>
              <w:left w:val="nil"/>
              <w:bottom w:val="single" w:color="000000" w:sz="8" w:space="0"/>
              <w:right w:val="single" w:color="000000" w:sz="8"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课程</w:t>
            </w:r>
            <w:r>
              <w:rPr>
                <w:rFonts w:ascii="宋体" w:hAnsi="宋体" w:cs="宋体"/>
                <w:b/>
                <w:bCs/>
                <w:color w:val="000000"/>
                <w:kern w:val="0"/>
                <w:szCs w:val="21"/>
              </w:rPr>
              <w:t xml:space="preserve"> 类别</w:t>
            </w:r>
          </w:p>
        </w:tc>
        <w:tc>
          <w:tcPr>
            <w:tcW w:w="427" w:type="dxa"/>
            <w:tcBorders>
              <w:top w:val="single" w:color="000000" w:sz="8" w:space="0"/>
              <w:left w:val="nil"/>
              <w:bottom w:val="single" w:color="000000" w:sz="8" w:space="0"/>
              <w:right w:val="single" w:color="000000" w:sz="8"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学分</w:t>
            </w:r>
          </w:p>
        </w:tc>
        <w:tc>
          <w:tcPr>
            <w:tcW w:w="699" w:type="dxa"/>
            <w:tcBorders>
              <w:top w:val="single" w:color="000000" w:sz="8" w:space="0"/>
              <w:left w:val="nil"/>
              <w:bottom w:val="single" w:color="000000" w:sz="8" w:space="0"/>
              <w:right w:val="single" w:color="000000" w:sz="8"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总学时</w:t>
            </w:r>
          </w:p>
        </w:tc>
        <w:tc>
          <w:tcPr>
            <w:tcW w:w="427" w:type="dxa"/>
            <w:tcBorders>
              <w:top w:val="single" w:color="000000" w:sz="8" w:space="0"/>
              <w:left w:val="nil"/>
              <w:right w:val="single" w:color="000000" w:sz="8"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理论</w:t>
            </w:r>
          </w:p>
          <w:p>
            <w:pPr>
              <w:jc w:val="center"/>
              <w:rPr>
                <w:rFonts w:ascii="宋体" w:hAnsi="宋体" w:cs="宋体"/>
                <w:b/>
                <w:bCs/>
                <w:color w:val="000000"/>
                <w:kern w:val="0"/>
                <w:szCs w:val="21"/>
              </w:rPr>
            </w:pPr>
            <w:r>
              <w:rPr>
                <w:rFonts w:hint="eastAsia" w:ascii="宋体" w:hAnsi="宋体" w:cs="宋体"/>
                <w:b/>
                <w:bCs/>
                <w:color w:val="000000"/>
                <w:kern w:val="0"/>
                <w:szCs w:val="21"/>
              </w:rPr>
              <w:t>学时</w:t>
            </w:r>
          </w:p>
        </w:tc>
        <w:tc>
          <w:tcPr>
            <w:tcW w:w="531" w:type="dxa"/>
            <w:tcBorders>
              <w:top w:val="single" w:color="000000" w:sz="8" w:space="0"/>
              <w:left w:val="nil"/>
              <w:right w:val="single" w:color="auto" w:sz="4"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实践</w:t>
            </w:r>
          </w:p>
          <w:p>
            <w:pPr>
              <w:jc w:val="center"/>
              <w:rPr>
                <w:rFonts w:ascii="宋体" w:hAnsi="宋体" w:cs="宋体"/>
                <w:b/>
                <w:bCs/>
                <w:color w:val="000000"/>
                <w:kern w:val="0"/>
                <w:szCs w:val="21"/>
              </w:rPr>
            </w:pPr>
            <w:r>
              <w:rPr>
                <w:rFonts w:hint="eastAsia" w:ascii="宋体" w:hAnsi="宋体" w:cs="宋体"/>
                <w:b/>
                <w:bCs/>
                <w:color w:val="000000"/>
                <w:kern w:val="0"/>
                <w:szCs w:val="21"/>
              </w:rPr>
              <w:t>学时</w:t>
            </w:r>
          </w:p>
        </w:tc>
        <w:tc>
          <w:tcPr>
            <w:tcW w:w="6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考核</w:t>
            </w:r>
          </w:p>
          <w:p>
            <w:pPr>
              <w:jc w:val="center"/>
              <w:rPr>
                <w:rFonts w:ascii="宋体" w:hAnsi="宋体" w:cs="宋体"/>
                <w:b/>
                <w:bCs/>
                <w:color w:val="000000"/>
                <w:kern w:val="0"/>
                <w:szCs w:val="21"/>
              </w:rPr>
            </w:pPr>
            <w:r>
              <w:rPr>
                <w:rFonts w:hint="eastAsia" w:ascii="宋体" w:hAnsi="宋体" w:cs="宋体"/>
                <w:b/>
                <w:bCs/>
                <w:color w:val="000000"/>
                <w:kern w:val="0"/>
                <w:szCs w:val="21"/>
              </w:rPr>
              <w:t>方式</w:t>
            </w:r>
          </w:p>
        </w:tc>
        <w:tc>
          <w:tcPr>
            <w:tcW w:w="6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开设</w:t>
            </w:r>
          </w:p>
          <w:p>
            <w:pPr>
              <w:rPr>
                <w:rFonts w:ascii="宋体" w:hAnsi="宋体" w:cs="宋体"/>
                <w:b/>
                <w:bCs/>
                <w:color w:val="000000"/>
                <w:kern w:val="0"/>
                <w:szCs w:val="21"/>
              </w:rPr>
            </w:pPr>
            <w:r>
              <w:rPr>
                <w:rFonts w:hint="eastAsia" w:ascii="宋体" w:hAnsi="宋体" w:cs="宋体"/>
                <w:b/>
                <w:bCs/>
                <w:color w:val="000000"/>
                <w:kern w:val="0"/>
                <w:szCs w:val="21"/>
              </w:rPr>
              <w:t>学期</w:t>
            </w:r>
          </w:p>
        </w:tc>
        <w:tc>
          <w:tcPr>
            <w:tcW w:w="6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授课主体</w:t>
            </w:r>
          </w:p>
        </w:tc>
        <w:tc>
          <w:tcPr>
            <w:tcW w:w="2513" w:type="dxa"/>
            <w:tcBorders>
              <w:top w:val="single" w:color="000000" w:sz="8" w:space="0"/>
              <w:left w:val="single" w:color="auto" w:sz="4" w:space="0"/>
              <w:bottom w:val="single" w:color="000000" w:sz="8" w:space="0"/>
              <w:right w:val="single" w:color="auto" w:sz="4"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课程目标</w:t>
            </w:r>
          </w:p>
        </w:tc>
        <w:tc>
          <w:tcPr>
            <w:tcW w:w="31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主要教学内容</w:t>
            </w:r>
          </w:p>
        </w:tc>
      </w:tr>
      <w:tr>
        <w:trPr>
          <w:trHeight w:val="690" w:hRule="atLeast"/>
        </w:trPr>
        <w:tc>
          <w:tcPr>
            <w:tcW w:w="531"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专业群课程平台</w:t>
            </w: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计算机网络技术</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531" w:type="dxa"/>
            <w:tcBorders>
              <w:top w:val="nil"/>
              <w:left w:val="nil"/>
              <w:bottom w:val="single" w:color="000000" w:sz="8"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6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考试</w:t>
            </w:r>
          </w:p>
        </w:tc>
        <w:tc>
          <w:tcPr>
            <w:tcW w:w="659" w:type="dxa"/>
            <w:tcBorders>
              <w:top w:val="single" w:color="auto" w:sz="4" w:space="0"/>
              <w:left w:val="single" w:color="auto" w:sz="4" w:space="0"/>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636" w:type="dxa"/>
            <w:tcBorders>
              <w:top w:val="single" w:color="auto" w:sz="4" w:space="0"/>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学校</w:t>
            </w:r>
          </w:p>
        </w:tc>
        <w:tc>
          <w:tcPr>
            <w:tcW w:w="2513" w:type="dxa"/>
            <w:tcBorders>
              <w:top w:val="nil"/>
              <w:left w:val="nil"/>
              <w:bottom w:val="single" w:color="000000" w:sz="8" w:space="0"/>
              <w:right w:val="single" w:color="auto" w:sz="4"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对理论</w:t>
            </w:r>
            <w:r>
              <w:rPr>
                <w:rFonts w:ascii="宋体" w:hAnsi="宋体" w:cs="宋体"/>
                <w:color w:val="000000"/>
                <w:kern w:val="0"/>
                <w:szCs w:val="21"/>
              </w:rPr>
              <w:t>知识“</w:t>
            </w:r>
            <w:r>
              <w:rPr>
                <w:rFonts w:hint="eastAsia" w:ascii="宋体" w:hAnsi="宋体" w:cs="宋体"/>
                <w:color w:val="000000"/>
                <w:kern w:val="0"/>
                <w:szCs w:val="21"/>
              </w:rPr>
              <w:t>必要</w:t>
            </w:r>
            <w:r>
              <w:rPr>
                <w:rFonts w:ascii="宋体" w:hAnsi="宋体" w:cs="宋体"/>
                <w:color w:val="000000"/>
                <w:kern w:val="0"/>
                <w:szCs w:val="21"/>
              </w:rPr>
              <w:t>、适度、够用”</w:t>
            </w:r>
            <w:r>
              <w:rPr>
                <w:rFonts w:hint="eastAsia" w:ascii="宋体" w:hAnsi="宋体" w:cs="宋体"/>
                <w:color w:val="000000"/>
                <w:kern w:val="0"/>
                <w:szCs w:val="21"/>
              </w:rPr>
              <w:t>的</w:t>
            </w:r>
            <w:r>
              <w:rPr>
                <w:rFonts w:ascii="宋体" w:hAnsi="宋体" w:cs="宋体"/>
                <w:color w:val="000000"/>
                <w:kern w:val="0"/>
                <w:szCs w:val="21"/>
              </w:rPr>
              <w:t>原则下，系统介绍了计算机网络技术所涉及到的各个方</w:t>
            </w:r>
            <w:r>
              <w:rPr>
                <w:rFonts w:hint="eastAsia" w:ascii="宋体" w:hAnsi="宋体" w:cs="宋体"/>
                <w:color w:val="000000"/>
                <w:kern w:val="0"/>
                <w:szCs w:val="21"/>
              </w:rPr>
              <w:t>面</w:t>
            </w:r>
            <w:r>
              <w:rPr>
                <w:rFonts w:ascii="宋体" w:hAnsi="宋体" w:cs="宋体"/>
                <w:color w:val="000000"/>
                <w:kern w:val="0"/>
                <w:szCs w:val="21"/>
              </w:rPr>
              <w:t>的理论基础与技术基础知识</w:t>
            </w:r>
          </w:p>
        </w:tc>
        <w:tc>
          <w:tcPr>
            <w:tcW w:w="31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计算机网络</w:t>
            </w:r>
            <w:r>
              <w:rPr>
                <w:rFonts w:ascii="宋体" w:hAnsi="宋体" w:cs="宋体"/>
                <w:color w:val="000000"/>
                <w:kern w:val="0"/>
                <w:szCs w:val="21"/>
              </w:rPr>
              <w:t>的基本概念、网络体系结构</w:t>
            </w:r>
            <w:r>
              <w:rPr>
                <w:rFonts w:hint="eastAsia" w:ascii="宋体" w:hAnsi="宋体" w:cs="宋体"/>
                <w:color w:val="000000"/>
                <w:kern w:val="0"/>
                <w:szCs w:val="21"/>
              </w:rPr>
              <w:t xml:space="preserve"> 、</w:t>
            </w:r>
            <w:r>
              <w:rPr>
                <w:rFonts w:ascii="宋体" w:hAnsi="宋体" w:cs="宋体"/>
                <w:color w:val="000000"/>
                <w:kern w:val="0"/>
                <w:szCs w:val="21"/>
              </w:rPr>
              <w:t>数据通信、局域网基本原理、以太网原理、传输介质、网络</w:t>
            </w:r>
            <w:r>
              <w:rPr>
                <w:rFonts w:hint="eastAsia" w:ascii="宋体" w:hAnsi="宋体" w:cs="宋体"/>
                <w:color w:val="000000"/>
                <w:kern w:val="0"/>
                <w:szCs w:val="21"/>
              </w:rPr>
              <w:t>操作</w:t>
            </w:r>
            <w:r>
              <w:rPr>
                <w:rFonts w:ascii="宋体" w:hAnsi="宋体" w:cs="宋体"/>
                <w:color w:val="000000"/>
                <w:kern w:val="0"/>
                <w:szCs w:val="21"/>
              </w:rPr>
              <w:t>系统、</w:t>
            </w:r>
            <w:r>
              <w:rPr>
                <w:rFonts w:hint="eastAsia" w:ascii="宋体" w:hAnsi="宋体" w:cs="宋体"/>
                <w:color w:val="000000"/>
                <w:kern w:val="0"/>
                <w:szCs w:val="21"/>
              </w:rPr>
              <w:t>I</w:t>
            </w:r>
            <w:r>
              <w:rPr>
                <w:rFonts w:ascii="宋体" w:hAnsi="宋体" w:cs="宋体"/>
                <w:color w:val="000000"/>
                <w:kern w:val="0"/>
                <w:szCs w:val="21"/>
              </w:rPr>
              <w:t>nternet</w:t>
            </w:r>
            <w:r>
              <w:rPr>
                <w:rFonts w:hint="eastAsia" w:ascii="宋体" w:hAnsi="宋体" w:cs="宋体"/>
                <w:color w:val="000000"/>
                <w:kern w:val="0"/>
                <w:szCs w:val="21"/>
              </w:rPr>
              <w:t>的</w:t>
            </w:r>
            <w:r>
              <w:rPr>
                <w:rFonts w:ascii="宋体" w:hAnsi="宋体" w:cs="宋体"/>
                <w:color w:val="000000"/>
                <w:kern w:val="0"/>
                <w:szCs w:val="21"/>
              </w:rPr>
              <w:t>基本原理、网络连接和浏览器的设置与应用</w:t>
            </w:r>
          </w:p>
        </w:tc>
      </w:tr>
      <w:tr>
        <w:trPr>
          <w:trHeight w:val="690"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rPr>
              <w:t>程序设计</w:t>
            </w:r>
            <w:r>
              <w:rPr>
                <w:rFonts w:hint="eastAsia" w:ascii="宋体" w:hAnsi="宋体" w:cs="宋体"/>
                <w:color w:val="000000"/>
                <w:kern w:val="0"/>
                <w:szCs w:val="21"/>
                <w:lang w:val="en-US" w:eastAsia="zh-CN"/>
              </w:rPr>
              <w:t>基础</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626" w:type="dxa"/>
            <w:tcBorders>
              <w:top w:val="single" w:color="auto" w:sz="4" w:space="0"/>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考试</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1</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学校</w:t>
            </w:r>
          </w:p>
        </w:tc>
        <w:tc>
          <w:tcPr>
            <w:tcW w:w="2513"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熟悉C语言的基本数据类型、各种类型运算及表达式。掌握构造类型的定义与使用、函数、指针的使用、文件的读写方法；</w:t>
            </w:r>
          </w:p>
        </w:tc>
        <w:tc>
          <w:tcPr>
            <w:tcW w:w="3166" w:type="dxa"/>
            <w:tcBorders>
              <w:top w:val="single" w:color="auto" w:sz="4" w:space="0"/>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Ｃ语言特点及运行步骤；算法的概念、特性，流程图表示算法；  顺序结构，选择结构（if、switch），循环结构（for、while、do-while、break、continue），数组、函数定义与调用，嵌套、递归，变量的存储方式生存周期、指针、结构体，链表操作，文件的读写方法</w:t>
            </w:r>
          </w:p>
        </w:tc>
      </w:tr>
      <w:tr>
        <w:trPr>
          <w:trHeight w:val="465"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数据结构</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考试</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4</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学校</w:t>
            </w:r>
          </w:p>
        </w:tc>
        <w:tc>
          <w:tcPr>
            <w:tcW w:w="2513"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使学生掌握常用数据结构的基本概念及其实现方法；通过系统学习，能够在不同存储结构上实现不同的运算</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主要包括数据结构课程在整个计算机相关课程中的地位，相应的数据结构概念、应用场景、算法分析的概念和基本方法</w:t>
            </w:r>
          </w:p>
        </w:tc>
      </w:tr>
      <w:tr>
        <w:trPr>
          <w:trHeight w:val="915"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通信概论</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64</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考试</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学校</w:t>
            </w:r>
          </w:p>
        </w:tc>
        <w:tc>
          <w:tcPr>
            <w:tcW w:w="2513"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熟悉通信系统，掌握通信理论基本概念</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 xml:space="preserve">通信系统框架；交换、接入、传输的概念；常见通信系统 </w:t>
            </w:r>
          </w:p>
        </w:tc>
      </w:tr>
      <w:tr>
        <w:trPr>
          <w:trHeight w:val="915"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电路与电子技术</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考试</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学校</w:t>
            </w:r>
          </w:p>
        </w:tc>
        <w:tc>
          <w:tcPr>
            <w:tcW w:w="2513"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熟悉常见电路的分析方法</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电路基本分析方法；模拟电子技术和数字电子技术</w:t>
            </w:r>
          </w:p>
        </w:tc>
      </w:tr>
      <w:tr>
        <w:trPr>
          <w:trHeight w:val="915"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数据通信技术</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32</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考试</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3</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熟悉数据通信基本技术及原理</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数据网络的基础理论知识；TCP/IP协议栈精讲</w:t>
            </w:r>
          </w:p>
        </w:tc>
      </w:tr>
      <w:tr>
        <w:trPr>
          <w:trHeight w:val="915"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光通信技术</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32</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32</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考试</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3</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 w:val="21"/>
                <w:szCs w:val="21"/>
                <w:lang w:val="en-US" w:eastAsia="zh-CN" w:bidi="ar-SA"/>
              </w:rPr>
              <w:t>学校</w:t>
            </w:r>
          </w:p>
        </w:tc>
        <w:tc>
          <w:tcPr>
            <w:tcW w:w="2513" w:type="dxa"/>
            <w:tcBorders>
              <w:top w:val="nil"/>
              <w:left w:val="nil"/>
              <w:bottom w:val="single" w:color="000000" w:sz="8" w:space="0"/>
              <w:right w:val="single" w:color="000000" w:sz="8" w:space="0"/>
            </w:tcBorders>
            <w:shd w:val="clear" w:color="auto" w:fill="auto"/>
            <w:vAlign w:val="center"/>
          </w:tcPr>
          <w:p>
            <w:pPr>
              <w:widowControl/>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了解光纤通信发展史、光纤的基础理论及特性；掌握光传输、光接入的常见技术</w:t>
            </w:r>
          </w:p>
        </w:tc>
        <w:tc>
          <w:tcPr>
            <w:tcW w:w="3166" w:type="dxa"/>
            <w:tcBorders>
              <w:top w:val="nil"/>
              <w:left w:val="nil"/>
              <w:bottom w:val="single" w:color="000000" w:sz="8" w:space="0"/>
              <w:right w:val="single" w:color="000000" w:sz="8" w:space="0"/>
            </w:tcBorders>
            <w:shd w:val="clear" w:color="auto" w:fill="auto"/>
            <w:vAlign w:val="center"/>
          </w:tcPr>
          <w:p>
            <w:pPr>
              <w:widowControl/>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介绍光纤基础理论知识，光传输和光接入网的主要技术以及设备</w:t>
            </w:r>
          </w:p>
        </w:tc>
      </w:tr>
      <w:tr>
        <w:trPr>
          <w:trHeight w:val="465"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lang w:val="en-US" w:eastAsia="zh-CN"/>
              </w:rPr>
              <w:t>高等</w:t>
            </w:r>
            <w:r>
              <w:rPr>
                <w:rFonts w:hint="eastAsia" w:ascii="宋体" w:hAnsi="宋体" w:cs="宋体"/>
                <w:color w:val="000000"/>
                <w:kern w:val="0"/>
                <w:szCs w:val="21"/>
              </w:rPr>
              <w:t>数学</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64</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考试</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学校</w:t>
            </w:r>
          </w:p>
        </w:tc>
        <w:tc>
          <w:tcPr>
            <w:tcW w:w="2513"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培养学生逻辑推理能力；锻炼并提高学生自学能力；提高学生综合运用数学知识去分析实际问题与解决实际问题的能力</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根据学生专业知识与日常生活中中相关问题对应用数学的需求，分为六个教学单元，分别为函数极限与连续性、导数与微分、导数的应用、不定积分、定积分、常微分方程的求解与应用等</w:t>
            </w:r>
          </w:p>
        </w:tc>
      </w:tr>
      <w:tr>
        <w:trPr>
          <w:trHeight w:val="690" w:hRule="atLeast"/>
        </w:trPr>
        <w:tc>
          <w:tcPr>
            <w:tcW w:w="531"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专业核心能力课程模块</w:t>
            </w: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电信业务应用与营销</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5</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让学生熟悉电信业务</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各类电信业务的主要技术特点及营销方法</w:t>
            </w:r>
          </w:p>
        </w:tc>
      </w:tr>
      <w:tr>
        <w:trPr>
          <w:trHeight w:val="915"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lang w:val="en-US" w:eastAsia="zh-CN"/>
              </w:rPr>
              <w:t>移动通信网建设与维护</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rPr>
              <w:t>32</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32</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lang w:val="en-US" w:eastAsia="zh-CN"/>
              </w:rPr>
              <w:t>3</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企业</w:t>
            </w:r>
          </w:p>
        </w:tc>
        <w:tc>
          <w:tcPr>
            <w:tcW w:w="2513"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1" w:after="100" w:afterAutospacing="1"/>
              <w:ind w:left="0" w:leftChars="0"/>
              <w:textAlignment w:val="auto"/>
              <w:rPr>
                <w:rFonts w:ascii="宋体" w:hAnsi="宋体" w:cs="宋体"/>
                <w:color w:val="000000"/>
                <w:kern w:val="0"/>
                <w:szCs w:val="21"/>
              </w:rPr>
            </w:pPr>
            <w:r>
              <w:rPr>
                <w:rFonts w:hint="eastAsia" w:ascii="宋体" w:hAnsi="宋体" w:cs="宋体"/>
                <w:color w:val="000000"/>
                <w:kern w:val="0"/>
                <w:szCs w:val="21"/>
              </w:rPr>
              <w:t>培养掌握移动通信网络架构、设备原理及组网技术，具备基站建设、核心网配置、网络优化及故障处理能力，熟悉5G/4G关键技术，能胜任规划、部署、运维等岗位的高素质技术技能人才。</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通信网络的传输方式、传输网络路由与交换的配置技能移动通信网络架构、建设原则、组网思路、关键技术的现网应用等知识</w:t>
            </w:r>
            <w:r>
              <w:rPr>
                <w:rFonts w:hint="eastAsia" w:ascii="宋体" w:hAnsi="宋体" w:cs="宋体"/>
                <w:color w:val="000000"/>
                <w:kern w:val="0"/>
                <w:szCs w:val="21"/>
                <w:lang w:eastAsia="zh-CN"/>
              </w:rPr>
              <w:t>；</w:t>
            </w:r>
            <w:r>
              <w:rPr>
                <w:rFonts w:hint="eastAsia" w:ascii="宋体" w:hAnsi="宋体" w:cs="宋体"/>
                <w:color w:val="000000"/>
                <w:kern w:val="0"/>
                <w:szCs w:val="21"/>
              </w:rPr>
              <w:t>核心网、承载网、无线侧的规划、部署、调测、故障排查等内容</w:t>
            </w:r>
            <w:r>
              <w:rPr>
                <w:rFonts w:hint="eastAsia" w:ascii="宋体" w:hAnsi="宋体" w:cs="宋体"/>
                <w:color w:val="000000"/>
                <w:kern w:val="0"/>
                <w:szCs w:val="21"/>
                <w:lang w:eastAsia="zh-CN"/>
              </w:rPr>
              <w:t>；</w:t>
            </w:r>
            <w:r>
              <w:rPr>
                <w:rFonts w:hint="eastAsia" w:ascii="宋体" w:hAnsi="宋体" w:cs="宋体"/>
                <w:color w:val="000000"/>
                <w:kern w:val="0"/>
                <w:szCs w:val="21"/>
              </w:rPr>
              <w:t>移动通信全网</w:t>
            </w:r>
            <w:r>
              <w:rPr>
                <w:rFonts w:hint="eastAsia" w:ascii="宋体" w:hAnsi="宋体" w:cs="宋体"/>
                <w:color w:val="000000"/>
                <w:kern w:val="0"/>
                <w:szCs w:val="21"/>
                <w:lang w:val="en-US" w:eastAsia="zh-CN"/>
              </w:rPr>
              <w:t>的</w:t>
            </w:r>
            <w:r>
              <w:rPr>
                <w:rFonts w:hint="eastAsia" w:ascii="宋体" w:hAnsi="宋体" w:cs="宋体"/>
                <w:color w:val="000000"/>
                <w:kern w:val="0"/>
                <w:szCs w:val="21"/>
              </w:rPr>
              <w:t>较为简单的、端到端的拓扑规划、覆盖计算、容量计算、业务参数规划、业务开通、业务调测</w:t>
            </w:r>
          </w:p>
        </w:tc>
      </w:tr>
      <w:tr>
        <w:trPr>
          <w:trHeight w:val="690"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无线网络规划与优化</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 w:val="21"/>
                <w:szCs w:val="21"/>
                <w:lang w:val="en-US" w:eastAsia="zh-CN" w:bidi="ar-SA"/>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32</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 w:val="21"/>
                <w:szCs w:val="21"/>
                <w:lang w:val="en-US" w:eastAsia="zh-CN" w:bidi="ar-SA"/>
              </w:rPr>
              <w:t>32</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 w:val="21"/>
                <w:szCs w:val="21"/>
                <w:lang w:val="en-US" w:eastAsia="zh-CN" w:bidi="ar-SA"/>
              </w:rPr>
              <w:t>4</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认知网络优化流程，学会使用常用仪器仪表</w:t>
            </w:r>
          </w:p>
        </w:tc>
        <w:tc>
          <w:tcPr>
            <w:tcW w:w="3166" w:type="dxa"/>
            <w:tcBorders>
              <w:top w:val="nil"/>
              <w:left w:val="nil"/>
              <w:bottom w:val="single" w:color="000000" w:sz="8" w:space="0"/>
              <w:right w:val="single" w:color="000000" w:sz="8" w:space="0"/>
            </w:tcBorders>
            <w:shd w:val="clear" w:color="auto" w:fill="auto"/>
            <w:vAlign w:val="center"/>
          </w:tcPr>
          <w:p>
            <w:pPr>
              <w:widowControl/>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网络建设与优化仪器、软件的使用</w:t>
            </w:r>
          </w:p>
        </w:tc>
      </w:tr>
      <w:tr>
        <w:trPr>
          <w:trHeight w:val="1140"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Cs w:val="21"/>
              </w:rPr>
              <w:t>通信工程制图</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2</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32</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16</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16</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2</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Cs w:val="21"/>
              </w:rPr>
              <w:t>熟悉利用绘图软件绘制电信工程图纸的方法</w:t>
            </w:r>
          </w:p>
        </w:tc>
        <w:tc>
          <w:tcPr>
            <w:tcW w:w="3166" w:type="dxa"/>
            <w:tcBorders>
              <w:top w:val="nil"/>
              <w:left w:val="nil"/>
              <w:bottom w:val="single" w:color="000000" w:sz="8" w:space="0"/>
              <w:right w:val="single" w:color="000000" w:sz="8" w:space="0"/>
            </w:tcBorders>
            <w:shd w:val="clear" w:color="auto" w:fill="auto"/>
            <w:vAlign w:val="center"/>
          </w:tcPr>
          <w:p>
            <w:pPr>
              <w:widowControl/>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通信工程图纸常用符号、绘图软件的使用方法</w:t>
            </w:r>
          </w:p>
        </w:tc>
      </w:tr>
      <w:tr>
        <w:trPr>
          <w:trHeight w:val="465"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移动通信与人工智能</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Cs w:val="21"/>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Cs w:val="21"/>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Cs w:val="21"/>
              </w:rPr>
              <w:t>32</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Cs w:val="21"/>
              </w:rPr>
              <w:t>32</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考</w:t>
            </w:r>
            <w:r>
              <w:rPr>
                <w:rFonts w:hint="eastAsia" w:ascii="宋体" w:hAnsi="宋体" w:cs="宋体"/>
                <w:color w:val="000000"/>
                <w:kern w:val="0"/>
                <w:szCs w:val="21"/>
                <w:lang w:val="en-US" w:eastAsia="zh-CN"/>
              </w:rPr>
              <w:t>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 w:val="21"/>
                <w:szCs w:val="21"/>
                <w:lang w:val="en-US" w:eastAsia="zh-CN" w:bidi="ar-SA"/>
              </w:rPr>
              <w:t>5</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熟悉人工智能在移动网络运维、软硬件集成和应用方案实施中的使用</w:t>
            </w:r>
          </w:p>
        </w:tc>
        <w:tc>
          <w:tcPr>
            <w:tcW w:w="3166" w:type="dxa"/>
            <w:tcBorders>
              <w:top w:val="nil"/>
              <w:left w:val="nil"/>
              <w:bottom w:val="single" w:color="000000" w:sz="8" w:space="0"/>
              <w:right w:val="single" w:color="000000" w:sz="8" w:space="0"/>
            </w:tcBorders>
            <w:shd w:val="clear" w:color="auto" w:fill="auto"/>
            <w:vAlign w:val="center"/>
          </w:tcPr>
          <w:p>
            <w:pPr>
              <w:widowControl/>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介绍</w:t>
            </w:r>
            <w:r>
              <w:rPr>
                <w:rFonts w:hint="eastAsia" w:ascii="宋体" w:hAnsi="宋体" w:cs="宋体"/>
                <w:color w:val="000000"/>
                <w:kern w:val="0"/>
                <w:szCs w:val="21"/>
              </w:rPr>
              <w:t>移动通信网络智能运维基本理论、通信网络数据特点及常用数据分析算法</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工具</w:t>
            </w:r>
            <w:r>
              <w:rPr>
                <w:rFonts w:hint="eastAsia" w:ascii="宋体" w:hAnsi="宋体" w:cs="宋体"/>
                <w:color w:val="000000"/>
                <w:kern w:val="0"/>
                <w:szCs w:val="21"/>
              </w:rPr>
              <w:t>，熟悉移动通信网络常见问题及解决方案、智能运维应用案例。</w:t>
            </w:r>
            <w:r>
              <w:rPr>
                <w:rFonts w:hint="eastAsia" w:ascii="宋体" w:hAnsi="宋体" w:cs="宋体"/>
                <w:color w:val="000000"/>
                <w:kern w:val="0"/>
                <w:szCs w:val="21"/>
                <w:lang w:val="en-US" w:eastAsia="zh-CN"/>
              </w:rPr>
              <w:t>探讨</w:t>
            </w:r>
            <w:r>
              <w:rPr>
                <w:rFonts w:hint="eastAsia" w:ascii="宋体" w:hAnsi="宋体" w:cs="宋体"/>
                <w:color w:val="000000"/>
                <w:kern w:val="0"/>
                <w:szCs w:val="21"/>
              </w:rPr>
              <w:t>移动通信网络典型的智能化应用（物联网及行业/企业应用）场景的相关知识</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培养</w:t>
            </w:r>
            <w:r>
              <w:rPr>
                <w:rFonts w:hint="eastAsia" w:ascii="宋体" w:hAnsi="宋体" w:cs="宋体"/>
                <w:color w:val="000000"/>
                <w:kern w:val="0"/>
                <w:szCs w:val="21"/>
                <w:lang w:eastAsia="zh-CN"/>
              </w:rPr>
              <w:t>组建架构相对简单的云网边端协同的智能化业务应用场景，能在云端部署智能化服务或应用，并具备应用场景开通、调测、运维的能力。</w:t>
            </w:r>
          </w:p>
        </w:tc>
      </w:tr>
      <w:tr>
        <w:trPr>
          <w:trHeight w:val="465"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站点勘察设计（理论部分）</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rPr>
              <w:t>考</w:t>
            </w:r>
            <w:r>
              <w:rPr>
                <w:rFonts w:hint="eastAsia" w:ascii="宋体" w:hAnsi="宋体" w:cs="宋体"/>
                <w:color w:val="000000"/>
                <w:kern w:val="0"/>
                <w:szCs w:val="21"/>
                <w:lang w:val="en-US" w:eastAsia="zh-CN"/>
              </w:rPr>
              <w:t>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4</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hint="eastAsia" w:ascii="宋体" w:hAnsi="宋体" w:eastAsia="宋体" w:cs="宋体"/>
                <w:color w:val="000000"/>
                <w:kern w:val="0"/>
                <w:szCs w:val="21"/>
                <w:lang w:eastAsia="zh-CN"/>
              </w:rPr>
            </w:pPr>
            <w:r>
              <w:rPr>
                <w:rFonts w:hint="eastAsia" w:ascii="宋体" w:hAnsi="宋体" w:cs="宋体"/>
                <w:color w:val="000000"/>
                <w:kern w:val="0"/>
                <w:szCs w:val="21"/>
              </w:rPr>
              <w:t>通过理论与实践结合，使学生具备从站点勘察、方案设计到工程实施的完整能力，能够胜任通信运营商、设备商或设计院的相关岗位，同时适应技术快速迭代的行业挑战。</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了解站点工程勘察、设计的流程及规范、工程概预算定额组成与使用、工程造价控制等知识。具备移动室内外站点勘察、设计方案图纸</w:t>
            </w:r>
            <w:r>
              <w:rPr>
                <w:rFonts w:hint="eastAsia" w:ascii="宋体" w:hAnsi="宋体" w:cs="宋体"/>
                <w:color w:val="000000"/>
                <w:kern w:val="0"/>
                <w:szCs w:val="21"/>
                <w:lang w:val="en-US" w:eastAsia="zh-CN"/>
              </w:rPr>
              <w:t>阅读</w:t>
            </w:r>
            <w:r>
              <w:rPr>
                <w:rFonts w:hint="eastAsia" w:ascii="宋体" w:hAnsi="宋体" w:cs="宋体"/>
                <w:color w:val="000000"/>
                <w:kern w:val="0"/>
                <w:szCs w:val="21"/>
              </w:rPr>
              <w:t>、概预算文件编制、工程项目监理的能力</w:t>
            </w:r>
          </w:p>
        </w:tc>
      </w:tr>
      <w:tr>
        <w:trPr>
          <w:trHeight w:val="690" w:hRule="atLeast"/>
        </w:trPr>
        <w:tc>
          <w:tcPr>
            <w:tcW w:w="531"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专业实践课程</w:t>
            </w: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通信营销与客户服务</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C</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40</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40</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5</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认知通信营销与客户服务，树立服务意识</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市场调查、预测与细分方法</w:t>
            </w:r>
          </w:p>
        </w:tc>
      </w:tr>
      <w:tr>
        <w:trPr>
          <w:trHeight w:val="465"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电装实习</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C</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40</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40</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2</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学会使用烙铁万用表等常用工具</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电路元件、电路板组装与焊接</w:t>
            </w:r>
          </w:p>
        </w:tc>
      </w:tr>
      <w:tr>
        <w:trPr>
          <w:trHeight w:val="690"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eastAsia="zh-CN"/>
              </w:rPr>
            </w:pPr>
            <w:r>
              <w:t>站点勘察设计</w:t>
            </w:r>
            <w:r>
              <w:rPr>
                <w:rFonts w:hint="eastAsia"/>
                <w:lang w:eastAsia="zh-CN"/>
              </w:rPr>
              <w:t>（</w:t>
            </w:r>
            <w:r>
              <w:rPr>
                <w:rFonts w:hint="eastAsia"/>
                <w:lang w:val="en-US" w:eastAsia="zh-CN"/>
              </w:rPr>
              <w:t>实训部分</w:t>
            </w:r>
            <w:r>
              <w:rPr>
                <w:rFonts w:hint="eastAsia"/>
                <w:lang w:eastAsia="zh-CN"/>
              </w:rPr>
              <w:t>）</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C</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2</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40</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0</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20</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4</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学习勘察流程并使用常用工具和设备</w:t>
            </w:r>
          </w:p>
        </w:tc>
        <w:tc>
          <w:tcPr>
            <w:tcW w:w="3166" w:type="dxa"/>
            <w:tcBorders>
              <w:top w:val="nil"/>
              <w:left w:val="nil"/>
              <w:bottom w:val="single" w:color="000000" w:sz="8" w:space="0"/>
              <w:right w:val="single" w:color="000000" w:sz="8" w:space="0"/>
            </w:tcBorders>
            <w:shd w:val="clear" w:color="auto" w:fill="auto"/>
            <w:vAlign w:val="center"/>
          </w:tcPr>
          <w:p>
            <w:pPr>
              <w:widowControl/>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站点勘察，绘制简单图纸</w:t>
            </w:r>
          </w:p>
        </w:tc>
      </w:tr>
      <w:tr>
        <w:trPr>
          <w:trHeight w:val="465"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移动终端常见故障诊断与维修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C</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3</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认知移动终端故障诊断方法</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移动终端维修</w:t>
            </w:r>
          </w:p>
        </w:tc>
      </w:tr>
      <w:tr>
        <w:trPr>
          <w:trHeight w:val="465"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全网运维</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C</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2</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lang w:val="en-US" w:eastAsia="zh-CN"/>
              </w:rPr>
              <w:t>4</w:t>
            </w:r>
            <w:r>
              <w:rPr>
                <w:rFonts w:hint="eastAsia" w:ascii="宋体" w:hAnsi="宋体" w:cs="宋体"/>
                <w:color w:val="000000"/>
                <w:kern w:val="0"/>
                <w:szCs w:val="21"/>
              </w:rPr>
              <w:t>0</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3</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hint="default" w:ascii="宋体" w:hAnsi="宋体" w:eastAsia="宋体" w:cs="宋体"/>
                <w:color w:val="000000"/>
                <w:kern w:val="0"/>
                <w:szCs w:val="21"/>
                <w:lang w:val="en-US" w:eastAsia="zh-CN"/>
              </w:rPr>
            </w:pPr>
            <w:r>
              <w:rPr>
                <w:rFonts w:hint="eastAsia" w:ascii="宋体" w:hAnsi="宋体" w:cs="宋体"/>
                <w:color w:val="000000"/>
                <w:kern w:val="0"/>
                <w:szCs w:val="21"/>
              </w:rPr>
              <w:t>认知</w:t>
            </w:r>
            <w:r>
              <w:rPr>
                <w:rFonts w:hint="eastAsia" w:ascii="宋体" w:hAnsi="宋体" w:cs="宋体"/>
                <w:color w:val="000000"/>
                <w:kern w:val="0"/>
                <w:szCs w:val="21"/>
                <w:lang w:val="en-US" w:eastAsia="zh-CN"/>
              </w:rPr>
              <w:t>全网建设与运维流程</w:t>
            </w:r>
          </w:p>
        </w:tc>
        <w:tc>
          <w:tcPr>
            <w:tcW w:w="3166" w:type="dxa"/>
            <w:tcBorders>
              <w:top w:val="nil"/>
              <w:left w:val="nil"/>
              <w:bottom w:val="single" w:color="000000" w:sz="8" w:space="0"/>
              <w:right w:val="single" w:color="000000" w:sz="8" w:space="0"/>
            </w:tcBorders>
            <w:shd w:val="clear" w:color="auto" w:fill="auto"/>
            <w:vAlign w:val="center"/>
          </w:tcPr>
          <w:p>
            <w:pPr>
              <w:widowControl/>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5G运维机房参观与实践</w:t>
            </w:r>
          </w:p>
        </w:tc>
      </w:tr>
      <w:tr>
        <w:trPr>
          <w:trHeight w:val="465"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新媒体运营及品牌推广</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C</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4</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认知新媒体进行商务推广</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新媒体传播及品牌运作</w:t>
            </w:r>
          </w:p>
        </w:tc>
      </w:tr>
      <w:tr>
        <w:trPr>
          <w:trHeight w:val="465"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专业综合实训</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C</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40</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40</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5</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综合检验所学知识和技能</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专业学习内容的综合</w:t>
            </w:r>
          </w:p>
        </w:tc>
      </w:tr>
      <w:tr>
        <w:trPr>
          <w:trHeight w:val="465"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毕业设计</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C</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0</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64</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5</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学校+企业</w:t>
            </w:r>
          </w:p>
        </w:tc>
        <w:tc>
          <w:tcPr>
            <w:tcW w:w="2513" w:type="dxa"/>
            <w:tcBorders>
              <w:top w:val="nil"/>
              <w:left w:val="nil"/>
              <w:bottom w:val="single" w:color="000000" w:sz="8" w:space="0"/>
              <w:right w:val="single" w:color="000000" w:sz="8" w:space="0"/>
            </w:tcBorders>
            <w:shd w:val="clear" w:color="auto" w:fill="auto"/>
            <w:vAlign w:val="center"/>
          </w:tcPr>
          <w:p>
            <w:pPr>
              <w:rPr>
                <w:rFonts w:hint="eastAsia" w:ascii="宋体" w:hAnsi="宋体" w:cs="宋体"/>
                <w:color w:val="000000"/>
                <w:kern w:val="0"/>
                <w:szCs w:val="21"/>
              </w:rPr>
            </w:pPr>
            <w:r>
              <w:t>培养学生掌握移动通信系统设计与优化能力，具备网络规划、设备调试及工程实施等实践技能，提升职业素养。</w:t>
            </w:r>
          </w:p>
        </w:tc>
        <w:tc>
          <w:tcPr>
            <w:tcW w:w="3166" w:type="dxa"/>
            <w:tcBorders>
              <w:top w:val="nil"/>
              <w:left w:val="nil"/>
              <w:bottom w:val="single" w:color="000000" w:sz="8" w:space="0"/>
              <w:right w:val="single" w:color="000000" w:sz="8" w:space="0"/>
            </w:tcBorders>
            <w:shd w:val="clear" w:color="auto" w:fill="auto"/>
            <w:vAlign w:val="center"/>
          </w:tcPr>
          <w:p>
            <w:pPr>
              <w:widowControl/>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移动通信或相关生产场景工艺改进或技能革新，设计方案撰写</w:t>
            </w:r>
          </w:p>
        </w:tc>
      </w:tr>
      <w:tr>
        <w:trPr>
          <w:trHeight w:val="465"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2904" w:type="dxa"/>
            <w:gridSpan w:val="2"/>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岗位实习</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必修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C</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400</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0</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400</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5</w:t>
            </w:r>
            <w:r>
              <w:rPr>
                <w:rFonts w:hint="eastAsia" w:ascii="宋体" w:hAnsi="宋体" w:cs="宋体"/>
                <w:color w:val="000000"/>
                <w:kern w:val="0"/>
                <w:szCs w:val="21"/>
              </w:rPr>
              <w:t>、</w:t>
            </w:r>
            <w:r>
              <w:rPr>
                <w:rFonts w:hint="eastAsia" w:ascii="宋体" w:hAnsi="宋体" w:cs="宋体"/>
                <w:color w:val="000000"/>
                <w:kern w:val="0"/>
                <w:szCs w:val="21"/>
                <w:lang w:val="en-US" w:eastAsia="zh-CN"/>
              </w:rPr>
              <w:t>6</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岗位认知</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岗位技能、纪律、流程培训</w:t>
            </w:r>
          </w:p>
        </w:tc>
      </w:tr>
      <w:tr>
        <w:trPr>
          <w:trHeight w:val="690" w:hRule="atLeast"/>
        </w:trPr>
        <w:tc>
          <w:tcPr>
            <w:tcW w:w="531" w:type="dxa"/>
            <w:vMerge w:val="restart"/>
            <w:tcBorders>
              <w:top w:val="nil"/>
              <w:left w:val="single" w:color="000000" w:sz="8" w:space="0"/>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专业拓展选修课程模块</w:t>
            </w:r>
          </w:p>
        </w:tc>
        <w:tc>
          <w:tcPr>
            <w:tcW w:w="1375" w:type="dxa"/>
            <w:vMerge w:val="restart"/>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rPr>
              <w:t>专业提升模块</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一</w:t>
            </w:r>
            <w:r>
              <w:rPr>
                <w:rFonts w:hint="eastAsia" w:ascii="宋体" w:hAnsi="宋体" w:cs="宋体"/>
                <w:color w:val="000000"/>
                <w:kern w:val="0"/>
                <w:szCs w:val="21"/>
                <w:lang w:eastAsia="zh-CN"/>
              </w:rPr>
              <w:t>）</w:t>
            </w:r>
          </w:p>
        </w:tc>
        <w:tc>
          <w:tcPr>
            <w:tcW w:w="152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color w:val="000000"/>
                <w:szCs w:val="21"/>
              </w:rPr>
              <w:t>高等数学(专升本)</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选修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3</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学校</w:t>
            </w:r>
          </w:p>
        </w:tc>
        <w:tc>
          <w:tcPr>
            <w:tcW w:w="2513"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深化高等数学解题技能</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专升本常见考点分析与讲解</w:t>
            </w:r>
          </w:p>
        </w:tc>
      </w:tr>
      <w:tr>
        <w:trPr>
          <w:trHeight w:val="700"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1375" w:type="dxa"/>
            <w:vMerge w:val="continue"/>
            <w:tcBorders>
              <w:top w:val="nil"/>
              <w:left w:val="nil"/>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152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color w:val="000000"/>
                <w:szCs w:val="21"/>
              </w:rPr>
              <w:t>电路/数据结构(专升本)</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选修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16</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16</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4</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学校</w:t>
            </w:r>
          </w:p>
        </w:tc>
        <w:tc>
          <w:tcPr>
            <w:tcW w:w="2513"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加强电路分析和数据结构应试能力</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专升本常见考点分析与讲解</w:t>
            </w:r>
          </w:p>
        </w:tc>
      </w:tr>
      <w:tr>
        <w:trPr>
          <w:trHeight w:val="820"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1375" w:type="dxa"/>
            <w:vMerge w:val="continue"/>
            <w:tcBorders>
              <w:top w:val="nil"/>
              <w:left w:val="nil"/>
              <w:bottom w:val="single" w:color="auto" w:sz="4" w:space="0"/>
              <w:right w:val="single" w:color="000000" w:sz="8" w:space="0"/>
            </w:tcBorders>
            <w:vAlign w:val="center"/>
          </w:tcPr>
          <w:p>
            <w:pPr>
              <w:widowControl/>
              <w:jc w:val="left"/>
              <w:rPr>
                <w:rFonts w:ascii="宋体" w:hAnsi="宋体" w:cs="宋体"/>
                <w:color w:val="000000"/>
                <w:kern w:val="0"/>
                <w:szCs w:val="21"/>
              </w:rPr>
            </w:pPr>
          </w:p>
        </w:tc>
        <w:tc>
          <w:tcPr>
            <w:tcW w:w="152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color w:val="000000"/>
                <w:szCs w:val="21"/>
              </w:rPr>
              <w:t>英语(专升本)</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选修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3</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学校</w:t>
            </w:r>
          </w:p>
        </w:tc>
        <w:tc>
          <w:tcPr>
            <w:tcW w:w="2513"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加强专升本英语应试能力</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ascii="宋体" w:hAnsi="宋体" w:cs="宋体"/>
                <w:color w:val="000000"/>
                <w:kern w:val="0"/>
                <w:szCs w:val="21"/>
              </w:rPr>
              <w:t>专升本英语</w:t>
            </w:r>
            <w:r>
              <w:rPr>
                <w:rFonts w:hint="eastAsia" w:ascii="宋体" w:hAnsi="宋体" w:cs="宋体"/>
                <w:color w:val="000000"/>
                <w:kern w:val="0"/>
                <w:szCs w:val="21"/>
              </w:rPr>
              <w:t>考试考点分析及真题讲解</w:t>
            </w:r>
          </w:p>
        </w:tc>
      </w:tr>
      <w:tr>
        <w:trPr>
          <w:trHeight w:val="820" w:hRule="atLeast"/>
        </w:trPr>
        <w:tc>
          <w:tcPr>
            <w:tcW w:w="531" w:type="dxa"/>
            <w:vMerge w:val="continue"/>
            <w:tcBorders>
              <w:top w:val="nil"/>
              <w:left w:val="single" w:color="000000" w:sz="8" w:space="0"/>
              <w:bottom w:val="single" w:color="000000" w:sz="8" w:space="0"/>
              <w:right w:val="single" w:color="auto" w:sz="4" w:space="0"/>
            </w:tcBorders>
            <w:vAlign w:val="center"/>
          </w:tcPr>
          <w:p>
            <w:pPr>
              <w:widowControl/>
              <w:jc w:val="left"/>
              <w:rPr>
                <w:rFonts w:ascii="宋体" w:hAnsi="宋体" w:cs="宋体"/>
                <w:color w:val="000000"/>
                <w:kern w:val="0"/>
                <w:szCs w:val="21"/>
              </w:rPr>
            </w:pPr>
          </w:p>
        </w:tc>
        <w:tc>
          <w:tcPr>
            <w:tcW w:w="1375"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专业提升模块</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二</w:t>
            </w:r>
            <w:r>
              <w:rPr>
                <w:rFonts w:hint="eastAsia" w:ascii="宋体" w:hAnsi="宋体" w:cs="宋体"/>
                <w:color w:val="000000"/>
                <w:kern w:val="0"/>
                <w:szCs w:val="21"/>
                <w:lang w:eastAsia="zh-CN"/>
              </w:rPr>
              <w:t>）</w:t>
            </w:r>
          </w:p>
        </w:tc>
        <w:tc>
          <w:tcPr>
            <w:tcW w:w="1529" w:type="dxa"/>
            <w:tcBorders>
              <w:top w:val="nil"/>
              <w:left w:val="single" w:color="auto" w:sz="4" w:space="0"/>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市场营销</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选修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32</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32</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3</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认知市场营销，学会常用营销理念和方法</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eastAsia="宋体" w:cs="宋体"/>
                <w:color w:val="000000"/>
                <w:kern w:val="0"/>
                <w:sz w:val="21"/>
                <w:szCs w:val="21"/>
                <w:lang w:val="en-US" w:eastAsia="zh-CN" w:bidi="ar-SA"/>
              </w:rPr>
            </w:pPr>
            <w:r>
              <w:rPr>
                <w:rFonts w:hint="eastAsia" w:ascii="宋体" w:hAnsi="宋体" w:cs="宋体"/>
                <w:color w:val="000000"/>
                <w:kern w:val="0"/>
                <w:szCs w:val="21"/>
              </w:rPr>
              <w:t>市场调查、预测与细分，准确定位市场</w:t>
            </w:r>
          </w:p>
        </w:tc>
      </w:tr>
      <w:tr>
        <w:trPr>
          <w:trHeight w:val="820" w:hRule="atLeast"/>
        </w:trPr>
        <w:tc>
          <w:tcPr>
            <w:tcW w:w="531" w:type="dxa"/>
            <w:vMerge w:val="continue"/>
            <w:tcBorders>
              <w:top w:val="nil"/>
              <w:left w:val="single" w:color="000000" w:sz="8" w:space="0"/>
              <w:bottom w:val="single" w:color="000000" w:sz="8" w:space="0"/>
              <w:right w:val="single" w:color="auto" w:sz="4" w:space="0"/>
            </w:tcBorders>
            <w:vAlign w:val="center"/>
          </w:tcPr>
          <w:p>
            <w:pPr>
              <w:widowControl/>
              <w:jc w:val="left"/>
              <w:rPr>
                <w:rFonts w:ascii="宋体" w:hAnsi="宋体" w:cs="宋体"/>
                <w:color w:val="000000"/>
                <w:kern w:val="0"/>
                <w:szCs w:val="21"/>
              </w:rPr>
            </w:pPr>
          </w:p>
        </w:tc>
        <w:tc>
          <w:tcPr>
            <w:tcW w:w="1375" w:type="dxa"/>
            <w:vMerge w:val="continue"/>
            <w:tcBorders>
              <w:left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Cs w:val="21"/>
              </w:rPr>
            </w:pPr>
          </w:p>
        </w:tc>
        <w:tc>
          <w:tcPr>
            <w:tcW w:w="1529" w:type="dxa"/>
            <w:tcBorders>
              <w:top w:val="nil"/>
              <w:left w:val="single" w:color="auto" w:sz="4" w:space="0"/>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消费者行为学</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选修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2</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32</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16</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16</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3</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认知消费者心理和行为特征及其影响因素</w:t>
            </w:r>
          </w:p>
        </w:tc>
        <w:tc>
          <w:tcPr>
            <w:tcW w:w="3166" w:type="dxa"/>
            <w:tcBorders>
              <w:top w:val="nil"/>
              <w:left w:val="nil"/>
              <w:bottom w:val="single" w:color="000000" w:sz="8" w:space="0"/>
              <w:right w:val="single" w:color="000000" w:sz="8" w:space="0"/>
            </w:tcBorders>
            <w:shd w:val="clear" w:color="auto" w:fill="auto"/>
            <w:vAlign w:val="center"/>
          </w:tcPr>
          <w:p>
            <w:pPr>
              <w:widowControl/>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消费心理学、消费行为学</w:t>
            </w:r>
          </w:p>
        </w:tc>
      </w:tr>
      <w:tr>
        <w:trPr>
          <w:trHeight w:val="820" w:hRule="atLeast"/>
        </w:trPr>
        <w:tc>
          <w:tcPr>
            <w:tcW w:w="531" w:type="dxa"/>
            <w:vMerge w:val="continue"/>
            <w:tcBorders>
              <w:top w:val="nil"/>
              <w:left w:val="single" w:color="000000" w:sz="8" w:space="0"/>
              <w:bottom w:val="single" w:color="000000" w:sz="8" w:space="0"/>
              <w:right w:val="single" w:color="auto" w:sz="4" w:space="0"/>
            </w:tcBorders>
            <w:vAlign w:val="center"/>
          </w:tcPr>
          <w:p>
            <w:pPr>
              <w:widowControl/>
              <w:jc w:val="left"/>
              <w:rPr>
                <w:rFonts w:ascii="宋体" w:hAnsi="宋体" w:cs="宋体"/>
                <w:color w:val="000000"/>
                <w:kern w:val="0"/>
                <w:szCs w:val="21"/>
              </w:rPr>
            </w:pPr>
          </w:p>
        </w:tc>
        <w:tc>
          <w:tcPr>
            <w:tcW w:w="1375"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Cs w:val="21"/>
              </w:rPr>
            </w:pPr>
          </w:p>
        </w:tc>
        <w:tc>
          <w:tcPr>
            <w:tcW w:w="1529" w:type="dxa"/>
            <w:tcBorders>
              <w:top w:val="nil"/>
              <w:left w:val="single" w:color="auto" w:sz="4" w:space="0"/>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客户关系管理</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选修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32</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32</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4</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学会通过CRM系统分析客户数据</w:t>
            </w:r>
          </w:p>
        </w:tc>
        <w:tc>
          <w:tcPr>
            <w:tcW w:w="3166" w:type="dxa"/>
            <w:tcBorders>
              <w:top w:val="nil"/>
              <w:left w:val="nil"/>
              <w:bottom w:val="single" w:color="000000" w:sz="8" w:space="0"/>
              <w:right w:val="single" w:color="000000" w:sz="8" w:space="0"/>
            </w:tcBorders>
            <w:shd w:val="clear" w:color="auto" w:fill="auto"/>
            <w:vAlign w:val="center"/>
          </w:tcPr>
          <w:p>
            <w:pPr>
              <w:widowControl/>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CRM系统介绍、客户数据分析常用方法、工具</w:t>
            </w:r>
          </w:p>
        </w:tc>
      </w:tr>
      <w:tr>
        <w:trPr>
          <w:trHeight w:val="820" w:hRule="atLeast"/>
        </w:trPr>
        <w:tc>
          <w:tcPr>
            <w:tcW w:w="531" w:type="dxa"/>
            <w:vMerge w:val="continue"/>
            <w:tcBorders>
              <w:top w:val="nil"/>
              <w:left w:val="single" w:color="000000" w:sz="8" w:space="0"/>
              <w:bottom w:val="single" w:color="000000" w:sz="8" w:space="0"/>
              <w:right w:val="single" w:color="auto" w:sz="4" w:space="0"/>
            </w:tcBorders>
            <w:vAlign w:val="center"/>
          </w:tcPr>
          <w:p>
            <w:pPr>
              <w:widowControl/>
              <w:jc w:val="left"/>
              <w:rPr>
                <w:rFonts w:ascii="宋体" w:hAnsi="宋体" w:cs="宋体"/>
                <w:color w:val="000000"/>
                <w:kern w:val="0"/>
                <w:szCs w:val="21"/>
              </w:rPr>
            </w:pPr>
          </w:p>
        </w:tc>
        <w:tc>
          <w:tcPr>
            <w:tcW w:w="1375"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横向拓展</w:t>
            </w:r>
            <w:r>
              <w:rPr>
                <w:rFonts w:hint="eastAsia" w:ascii="宋体" w:hAnsi="宋体" w:cs="宋体"/>
                <w:color w:val="000000"/>
                <w:kern w:val="0"/>
                <w:szCs w:val="21"/>
              </w:rPr>
              <w:t>模块</w:t>
            </w:r>
          </w:p>
        </w:tc>
        <w:tc>
          <w:tcPr>
            <w:tcW w:w="152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物联网技术与应用</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选修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2</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32</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16</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16</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3</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认知物联网</w:t>
            </w:r>
          </w:p>
        </w:tc>
        <w:tc>
          <w:tcPr>
            <w:tcW w:w="3166" w:type="dxa"/>
            <w:tcBorders>
              <w:top w:val="nil"/>
              <w:left w:val="nil"/>
              <w:bottom w:val="single" w:color="000000" w:sz="8" w:space="0"/>
              <w:right w:val="single" w:color="000000" w:sz="8" w:space="0"/>
            </w:tcBorders>
            <w:shd w:val="clear" w:color="auto" w:fill="auto"/>
            <w:vAlign w:val="center"/>
          </w:tcPr>
          <w:p>
            <w:pPr>
              <w:widowControl/>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物联网的概念、常用技术和案例</w:t>
            </w:r>
          </w:p>
        </w:tc>
      </w:tr>
      <w:tr>
        <w:trPr>
          <w:trHeight w:val="690"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1375" w:type="dxa"/>
            <w:vMerge w:val="continue"/>
            <w:tcBorders>
              <w:left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Cs w:val="21"/>
                <w:lang w:val="en-US" w:eastAsia="zh-CN"/>
              </w:rPr>
            </w:pPr>
          </w:p>
        </w:tc>
        <w:tc>
          <w:tcPr>
            <w:tcW w:w="152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移动应用开发</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选修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3</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学会简单的移动APP开发</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安卓和IOS系统，常用的开发工具、开发和测试流程</w:t>
            </w:r>
          </w:p>
        </w:tc>
      </w:tr>
      <w:tr>
        <w:trPr>
          <w:trHeight w:val="690" w:hRule="atLeast"/>
        </w:trPr>
        <w:tc>
          <w:tcPr>
            <w:tcW w:w="531" w:type="dxa"/>
            <w:vMerge w:val="continue"/>
            <w:tcBorders>
              <w:top w:val="nil"/>
              <w:left w:val="single" w:color="000000" w:sz="8" w:space="0"/>
              <w:bottom w:val="single" w:color="000000" w:sz="8" w:space="0"/>
              <w:right w:val="single" w:color="000000" w:sz="8" w:space="0"/>
            </w:tcBorders>
            <w:vAlign w:val="center"/>
          </w:tcPr>
          <w:p>
            <w:pPr>
              <w:widowControl/>
              <w:jc w:val="left"/>
              <w:rPr>
                <w:rFonts w:ascii="宋体" w:hAnsi="宋体" w:cs="宋体"/>
                <w:color w:val="000000"/>
                <w:kern w:val="0"/>
                <w:szCs w:val="21"/>
              </w:rPr>
            </w:pPr>
          </w:p>
        </w:tc>
        <w:tc>
          <w:tcPr>
            <w:tcW w:w="137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Cs w:val="21"/>
              </w:rPr>
            </w:pPr>
          </w:p>
        </w:tc>
        <w:tc>
          <w:tcPr>
            <w:tcW w:w="152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移动互联网</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选修</w:t>
            </w:r>
          </w:p>
        </w:tc>
        <w:tc>
          <w:tcPr>
            <w:tcW w:w="555"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B</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699"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64</w:t>
            </w:r>
          </w:p>
        </w:tc>
        <w:tc>
          <w:tcPr>
            <w:tcW w:w="427"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531"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62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考查</w:t>
            </w:r>
          </w:p>
        </w:tc>
        <w:tc>
          <w:tcPr>
            <w:tcW w:w="659" w:type="dxa"/>
            <w:tcBorders>
              <w:top w:val="nil"/>
              <w:left w:val="nil"/>
              <w:bottom w:val="single" w:color="000000" w:sz="8" w:space="0"/>
              <w:right w:val="single" w:color="000000" w:sz="8" w:space="0"/>
            </w:tcBorders>
            <w:shd w:val="clear" w:color="auto" w:fill="auto"/>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4</w:t>
            </w:r>
          </w:p>
        </w:tc>
        <w:tc>
          <w:tcPr>
            <w:tcW w:w="636" w:type="dxa"/>
            <w:tcBorders>
              <w:top w:val="nil"/>
              <w:left w:val="nil"/>
              <w:bottom w:val="single" w:color="000000" w:sz="8" w:space="0"/>
              <w:right w:val="single" w:color="000000" w:sz="8" w:space="0"/>
            </w:tcBorders>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企业</w:t>
            </w:r>
          </w:p>
        </w:tc>
        <w:tc>
          <w:tcPr>
            <w:tcW w:w="2513"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认知移动互联网</w:t>
            </w:r>
          </w:p>
        </w:tc>
        <w:tc>
          <w:tcPr>
            <w:tcW w:w="3166" w:type="dxa"/>
            <w:tcBorders>
              <w:top w:val="nil"/>
              <w:left w:val="nil"/>
              <w:bottom w:val="single" w:color="000000" w:sz="8" w:space="0"/>
              <w:right w:val="single" w:color="000000" w:sz="8" w:space="0"/>
            </w:tcBorders>
            <w:shd w:val="clear" w:color="auto" w:fill="auto"/>
            <w:vAlign w:val="center"/>
          </w:tcPr>
          <w:p>
            <w:pPr>
              <w:widowControl/>
              <w:rPr>
                <w:rFonts w:ascii="宋体" w:hAnsi="宋体" w:cs="宋体"/>
                <w:color w:val="000000"/>
                <w:kern w:val="0"/>
                <w:szCs w:val="21"/>
              </w:rPr>
            </w:pPr>
            <w:r>
              <w:rPr>
                <w:rFonts w:hint="eastAsia" w:ascii="宋体" w:hAnsi="宋体" w:cs="宋体"/>
                <w:color w:val="000000"/>
                <w:kern w:val="0"/>
                <w:szCs w:val="21"/>
              </w:rPr>
              <w:t>移动互联网典型案例，主要技术和商务实施</w:t>
            </w:r>
          </w:p>
        </w:tc>
      </w:tr>
    </w:tbl>
    <w:p>
      <w:pPr>
        <w:spacing w:line="360" w:lineRule="auto"/>
        <w:ind w:firstLine="420" w:firstLineChars="200"/>
        <w:jc w:val="center"/>
        <w:rPr>
          <w:rFonts w:hint="eastAsia" w:ascii="宋体" w:hAnsi="宋体" w:cs="Angsana New"/>
          <w:b/>
          <w:szCs w:val="21"/>
          <w:lang w:bidi="th-TH"/>
        </w:rPr>
        <w:sectPr>
          <w:type w:val="continuous"/>
          <w:pgSz w:w="16838" w:h="11906" w:orient="landscape"/>
          <w:pgMar w:top="1701" w:right="1417" w:bottom="1701" w:left="1417" w:header="851" w:footer="992" w:gutter="0"/>
          <w:cols w:space="0" w:num="1"/>
          <w:docGrid w:type="lines" w:linePitch="312" w:charSpace="0"/>
        </w:sectPr>
      </w:pPr>
    </w:p>
    <w:p>
      <w:pPr>
        <w:numPr>
          <w:ilvl w:val="0"/>
          <w:numId w:val="1"/>
        </w:numPr>
        <w:jc w:val="left"/>
        <w:rPr>
          <w:rFonts w:hint="eastAsia" w:ascii="宋体" w:hAnsi="宋体" w:cs="Angsana New"/>
          <w:b/>
          <w:sz w:val="24"/>
          <w:szCs w:val="24"/>
          <w:lang w:val="en-US" w:eastAsia="zh-CN" w:bidi="th-TH"/>
        </w:rPr>
      </w:pPr>
      <w:r>
        <w:rPr>
          <w:rFonts w:hint="eastAsia" w:ascii="宋体" w:hAnsi="宋体" w:cs="Angsana New"/>
          <w:b/>
          <w:sz w:val="24"/>
          <w:szCs w:val="24"/>
          <w:lang w:val="en-US" w:eastAsia="zh-CN" w:bidi="th-TH"/>
        </w:rPr>
        <w:t>课程类别与学分结构</w:t>
      </w:r>
    </w:p>
    <w:p>
      <w:pPr>
        <w:numPr>
          <w:ilvl w:val="0"/>
          <w:numId w:val="0"/>
        </w:numPr>
        <w:jc w:val="center"/>
        <w:rPr>
          <w:rFonts w:hint="default" w:ascii="宋体" w:hAnsi="宋体" w:cs="Angsana New"/>
          <w:b/>
          <w:sz w:val="24"/>
          <w:szCs w:val="24"/>
          <w:lang w:val="en-US" w:eastAsia="zh-CN" w:bidi="th-TH"/>
        </w:rPr>
      </w:pPr>
      <w:r>
        <w:rPr>
          <w:rFonts w:hint="eastAsia" w:ascii="宋体" w:hAnsi="宋体" w:cs="Angsana New"/>
          <w:b/>
          <w:sz w:val="24"/>
          <w:szCs w:val="24"/>
          <w:lang w:bidi="th-TH"/>
        </w:rPr>
        <w:t>表5  课程类别与学分结构</w:t>
      </w:r>
      <w:r>
        <w:rPr>
          <w:rFonts w:hint="eastAsia" w:ascii="宋体" w:hAnsi="宋体" w:cs="Angsana New"/>
          <w:b/>
          <w:sz w:val="24"/>
          <w:szCs w:val="24"/>
          <w:lang w:val="en-US" w:eastAsia="zh-CN" w:bidi="th-TH"/>
        </w:rPr>
        <w:t>总表</w:t>
      </w:r>
    </w:p>
    <w:tbl>
      <w:tblPr>
        <w:tblStyle w:val="13"/>
        <w:tblpPr w:leftFromText="180" w:rightFromText="180" w:vertAnchor="text" w:horzAnchor="page" w:tblpX="1845" w:tblpY="284"/>
        <w:tblOverlap w:val="never"/>
        <w:tblW w:w="84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20"/>
        <w:gridCol w:w="915"/>
        <w:gridCol w:w="992"/>
        <w:gridCol w:w="854"/>
        <w:gridCol w:w="900"/>
        <w:gridCol w:w="1873"/>
      </w:tblGrid>
      <w:tr>
        <w:trPr>
          <w:trHeight w:val="680" w:hRule="atLeast"/>
        </w:trPr>
        <w:tc>
          <w:tcPr>
            <w:tcW w:w="959" w:type="dxa"/>
            <w:vAlign w:val="center"/>
          </w:tcPr>
          <w:p>
            <w:pPr>
              <w:jc w:val="center"/>
              <w:rPr>
                <w:b/>
                <w:szCs w:val="21"/>
              </w:rPr>
            </w:pPr>
            <w:r>
              <w:rPr>
                <w:rFonts w:hint="eastAsia" w:ascii="宋体" w:hAnsi="宋体" w:cs="宋体"/>
                <w:b/>
                <w:szCs w:val="21"/>
              </w:rPr>
              <w:t>类别</w:t>
            </w:r>
          </w:p>
        </w:tc>
        <w:tc>
          <w:tcPr>
            <w:tcW w:w="1920" w:type="dxa"/>
            <w:vAlign w:val="center"/>
          </w:tcPr>
          <w:p>
            <w:pPr>
              <w:jc w:val="center"/>
              <w:rPr>
                <w:b/>
                <w:szCs w:val="21"/>
              </w:rPr>
            </w:pPr>
            <w:r>
              <w:rPr>
                <w:rFonts w:hint="eastAsia" w:ascii="宋体" w:hAnsi="宋体" w:cs="宋体"/>
                <w:b/>
                <w:szCs w:val="21"/>
              </w:rPr>
              <w:t>类别</w:t>
            </w:r>
          </w:p>
        </w:tc>
        <w:tc>
          <w:tcPr>
            <w:tcW w:w="915" w:type="dxa"/>
            <w:vAlign w:val="center"/>
          </w:tcPr>
          <w:p>
            <w:pPr>
              <w:jc w:val="center"/>
              <w:rPr>
                <w:b/>
                <w:szCs w:val="21"/>
              </w:rPr>
            </w:pPr>
            <w:r>
              <w:rPr>
                <w:rFonts w:hint="eastAsia" w:ascii="宋体" w:hAnsi="宋体" w:cs="宋体"/>
                <w:b/>
                <w:szCs w:val="21"/>
              </w:rPr>
              <w:t>学分</w:t>
            </w:r>
          </w:p>
        </w:tc>
        <w:tc>
          <w:tcPr>
            <w:tcW w:w="992" w:type="dxa"/>
            <w:vAlign w:val="center"/>
          </w:tcPr>
          <w:p>
            <w:pPr>
              <w:jc w:val="center"/>
              <w:rPr>
                <w:b/>
                <w:szCs w:val="21"/>
              </w:rPr>
            </w:pPr>
            <w:r>
              <w:rPr>
                <w:rFonts w:hint="eastAsia"/>
                <w:b/>
                <w:szCs w:val="21"/>
              </w:rPr>
              <w:t>学时</w:t>
            </w:r>
          </w:p>
        </w:tc>
        <w:tc>
          <w:tcPr>
            <w:tcW w:w="854" w:type="dxa"/>
            <w:vAlign w:val="center"/>
          </w:tcPr>
          <w:p>
            <w:pPr>
              <w:jc w:val="center"/>
              <w:rPr>
                <w:rFonts w:ascii="宋体" w:hAnsi="宋体" w:cs="宋体"/>
                <w:b/>
                <w:szCs w:val="21"/>
              </w:rPr>
            </w:pPr>
            <w:r>
              <w:rPr>
                <w:rFonts w:hint="eastAsia" w:ascii="宋体" w:hAnsi="宋体" w:cs="宋体"/>
                <w:b/>
                <w:szCs w:val="21"/>
              </w:rPr>
              <w:t>理论</w:t>
            </w:r>
          </w:p>
          <w:p>
            <w:pPr>
              <w:jc w:val="center"/>
              <w:rPr>
                <w:b/>
                <w:szCs w:val="21"/>
              </w:rPr>
            </w:pPr>
            <w:r>
              <w:rPr>
                <w:rFonts w:hint="eastAsia" w:ascii="宋体" w:hAnsi="宋体" w:cs="宋体"/>
                <w:b/>
                <w:szCs w:val="21"/>
              </w:rPr>
              <w:t>学时</w:t>
            </w:r>
          </w:p>
        </w:tc>
        <w:tc>
          <w:tcPr>
            <w:tcW w:w="900" w:type="dxa"/>
            <w:vAlign w:val="center"/>
          </w:tcPr>
          <w:p>
            <w:pPr>
              <w:jc w:val="center"/>
              <w:rPr>
                <w:b/>
                <w:szCs w:val="21"/>
              </w:rPr>
            </w:pPr>
            <w:r>
              <w:rPr>
                <w:rFonts w:hint="eastAsia"/>
                <w:b/>
                <w:szCs w:val="21"/>
              </w:rPr>
              <w:t>实践</w:t>
            </w:r>
          </w:p>
          <w:p>
            <w:pPr>
              <w:jc w:val="center"/>
              <w:rPr>
                <w:b/>
                <w:szCs w:val="21"/>
              </w:rPr>
            </w:pPr>
            <w:r>
              <w:rPr>
                <w:rFonts w:hint="eastAsia"/>
                <w:b/>
                <w:szCs w:val="21"/>
              </w:rPr>
              <w:t>学时</w:t>
            </w:r>
          </w:p>
        </w:tc>
        <w:tc>
          <w:tcPr>
            <w:tcW w:w="1873" w:type="dxa"/>
            <w:vAlign w:val="center"/>
          </w:tcPr>
          <w:p>
            <w:pPr>
              <w:jc w:val="center"/>
              <w:rPr>
                <w:rFonts w:ascii="宋体" w:hAnsi="宋体" w:cs="宋体"/>
                <w:b/>
                <w:szCs w:val="21"/>
              </w:rPr>
            </w:pPr>
            <w:r>
              <w:rPr>
                <w:rFonts w:hint="eastAsia" w:ascii="宋体" w:hAnsi="宋体" w:cs="宋体"/>
                <w:b/>
                <w:szCs w:val="21"/>
              </w:rPr>
              <w:t>学时占</w:t>
            </w:r>
          </w:p>
          <w:p>
            <w:pPr>
              <w:jc w:val="center"/>
              <w:rPr>
                <w:b/>
                <w:szCs w:val="21"/>
              </w:rPr>
            </w:pPr>
            <w:r>
              <w:rPr>
                <w:rFonts w:hint="eastAsia" w:ascii="宋体" w:hAnsi="宋体" w:cs="宋体"/>
                <w:b/>
                <w:szCs w:val="21"/>
              </w:rPr>
              <w:t>总学时比例%</w:t>
            </w:r>
          </w:p>
        </w:tc>
      </w:tr>
      <w:tr>
        <w:trPr>
          <w:trHeight w:val="454" w:hRule="atLeast"/>
        </w:trPr>
        <w:tc>
          <w:tcPr>
            <w:tcW w:w="959" w:type="dxa"/>
            <w:vMerge w:val="restart"/>
            <w:vAlign w:val="center"/>
          </w:tcPr>
          <w:p>
            <w:pPr>
              <w:keepNext w:val="0"/>
              <w:keepLines w:val="0"/>
              <w:widowControl/>
              <w:suppressLineNumbers w:val="0"/>
              <w:jc w:val="center"/>
              <w:textAlignment w:val="center"/>
              <w:rPr>
                <w:szCs w:val="21"/>
              </w:rPr>
            </w:pPr>
            <w:r>
              <w:rPr>
                <w:rFonts w:hint="eastAsia" w:ascii="宋体" w:hAnsi="宋体" w:eastAsia="宋体" w:cs="宋体"/>
                <w:i w:val="0"/>
                <w:iCs w:val="0"/>
                <w:color w:val="000000"/>
                <w:kern w:val="0"/>
                <w:sz w:val="21"/>
                <w:szCs w:val="21"/>
                <w:u w:val="none"/>
                <w:lang w:val="en-US" w:eastAsia="zh-CN" w:bidi="ar"/>
              </w:rPr>
              <w:t>必修课</w:t>
            </w:r>
          </w:p>
        </w:tc>
        <w:tc>
          <w:tcPr>
            <w:tcW w:w="1920" w:type="dxa"/>
            <w:vAlign w:val="center"/>
          </w:tcPr>
          <w:p>
            <w:pPr>
              <w:keepNext w:val="0"/>
              <w:keepLines w:val="0"/>
              <w:widowControl/>
              <w:suppressLineNumbers w:val="0"/>
              <w:jc w:val="both"/>
              <w:textAlignment w:val="center"/>
              <w:rPr>
                <w:szCs w:val="21"/>
              </w:rPr>
            </w:pPr>
            <w:r>
              <w:rPr>
                <w:rFonts w:hint="eastAsia" w:ascii="宋体" w:hAnsi="宋体" w:eastAsia="宋体" w:cs="宋体"/>
                <w:i w:val="0"/>
                <w:iCs w:val="0"/>
                <w:color w:val="000000"/>
                <w:kern w:val="0"/>
                <w:sz w:val="21"/>
                <w:szCs w:val="21"/>
                <w:u w:val="none"/>
                <w:lang w:val="en-US" w:eastAsia="zh-CN" w:bidi="ar"/>
              </w:rPr>
              <w:t>文化素养课程平台</w:t>
            </w:r>
          </w:p>
        </w:tc>
        <w:tc>
          <w:tcPr>
            <w:tcW w:w="915" w:type="dxa"/>
            <w:vAlign w:val="center"/>
          </w:tcPr>
          <w:p>
            <w:pPr>
              <w:keepNext w:val="0"/>
              <w:keepLines w:val="0"/>
              <w:widowControl/>
              <w:suppressLineNumbers w:val="0"/>
              <w:jc w:val="center"/>
              <w:textAlignment w:val="center"/>
              <w:rPr>
                <w:rFonts w:hint="default" w:eastAsia="宋体"/>
                <w:szCs w:val="21"/>
                <w:lang w:val="en-US" w:eastAsia="zh-CN"/>
              </w:rPr>
            </w:pPr>
            <w:r>
              <w:rPr>
                <w:rFonts w:hint="default" w:ascii="Calibri" w:hAnsi="Calibri" w:eastAsia="宋体" w:cs="Calibri"/>
                <w:i w:val="0"/>
                <w:iCs w:val="0"/>
                <w:color w:val="000000"/>
                <w:kern w:val="0"/>
                <w:sz w:val="21"/>
                <w:szCs w:val="21"/>
                <w:u w:val="none"/>
                <w:lang w:val="en-US" w:eastAsia="zh-CN" w:bidi="ar"/>
              </w:rPr>
              <w:t>47</w:t>
            </w:r>
          </w:p>
        </w:tc>
        <w:tc>
          <w:tcPr>
            <w:tcW w:w="992" w:type="dxa"/>
            <w:vAlign w:val="center"/>
          </w:tcPr>
          <w:p>
            <w:pPr>
              <w:keepNext w:val="0"/>
              <w:keepLines w:val="0"/>
              <w:widowControl/>
              <w:suppressLineNumbers w:val="0"/>
              <w:jc w:val="center"/>
              <w:textAlignment w:val="center"/>
              <w:rPr>
                <w:rFonts w:hint="default" w:eastAsia="宋体"/>
                <w:szCs w:val="21"/>
                <w:lang w:val="en-US" w:eastAsia="zh-CN"/>
              </w:rPr>
            </w:pPr>
            <w:r>
              <w:rPr>
                <w:rFonts w:hint="default" w:ascii="Calibri" w:hAnsi="Calibri" w:eastAsia="宋体" w:cs="Calibri"/>
                <w:i w:val="0"/>
                <w:iCs w:val="0"/>
                <w:color w:val="000000"/>
                <w:kern w:val="0"/>
                <w:sz w:val="21"/>
                <w:szCs w:val="21"/>
                <w:u w:val="none"/>
                <w:lang w:val="en-US" w:eastAsia="zh-CN" w:bidi="ar"/>
              </w:rPr>
              <w:t>800</w:t>
            </w:r>
          </w:p>
        </w:tc>
        <w:tc>
          <w:tcPr>
            <w:tcW w:w="854" w:type="dxa"/>
            <w:vAlign w:val="center"/>
          </w:tcPr>
          <w:p>
            <w:pPr>
              <w:keepNext w:val="0"/>
              <w:keepLines w:val="0"/>
              <w:widowControl/>
              <w:suppressLineNumbers w:val="0"/>
              <w:jc w:val="center"/>
              <w:textAlignment w:val="center"/>
              <w:rPr>
                <w:rFonts w:hint="default" w:eastAsia="宋体"/>
                <w:szCs w:val="21"/>
                <w:lang w:val="en-US" w:eastAsia="zh-CN"/>
              </w:rPr>
            </w:pPr>
            <w:r>
              <w:rPr>
                <w:rFonts w:hint="default" w:ascii="Calibri" w:hAnsi="Calibri" w:eastAsia="宋体" w:cs="Calibri"/>
                <w:i w:val="0"/>
                <w:iCs w:val="0"/>
                <w:color w:val="000000"/>
                <w:kern w:val="0"/>
                <w:sz w:val="21"/>
                <w:szCs w:val="21"/>
                <w:u w:val="none"/>
                <w:lang w:val="en-US" w:eastAsia="zh-CN" w:bidi="ar"/>
              </w:rPr>
              <w:t>494</w:t>
            </w:r>
          </w:p>
        </w:tc>
        <w:tc>
          <w:tcPr>
            <w:tcW w:w="900" w:type="dxa"/>
            <w:vAlign w:val="center"/>
          </w:tcPr>
          <w:p>
            <w:pPr>
              <w:keepNext w:val="0"/>
              <w:keepLines w:val="0"/>
              <w:widowControl/>
              <w:suppressLineNumbers w:val="0"/>
              <w:jc w:val="center"/>
              <w:textAlignment w:val="center"/>
              <w:rPr>
                <w:rFonts w:hint="default" w:eastAsia="宋体"/>
                <w:szCs w:val="21"/>
                <w:lang w:val="en-US" w:eastAsia="zh-CN"/>
              </w:rPr>
            </w:pPr>
            <w:r>
              <w:rPr>
                <w:rFonts w:hint="default" w:ascii="Calibri" w:hAnsi="Calibri" w:eastAsia="宋体" w:cs="Calibri"/>
                <w:i w:val="0"/>
                <w:iCs w:val="0"/>
                <w:color w:val="000000"/>
                <w:kern w:val="0"/>
                <w:sz w:val="21"/>
                <w:szCs w:val="21"/>
                <w:u w:val="none"/>
                <w:lang w:val="en-US" w:eastAsia="zh-CN" w:bidi="ar"/>
              </w:rPr>
              <w:t>306</w:t>
            </w:r>
          </w:p>
        </w:tc>
        <w:tc>
          <w:tcPr>
            <w:tcW w:w="1873"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30.12%</w:t>
            </w:r>
          </w:p>
        </w:tc>
      </w:tr>
      <w:tr>
        <w:trPr>
          <w:trHeight w:val="454" w:hRule="atLeast"/>
        </w:trPr>
        <w:tc>
          <w:tcPr>
            <w:tcW w:w="959" w:type="dxa"/>
            <w:vMerge w:val="continue"/>
            <w:vAlign w:val="center"/>
          </w:tcPr>
          <w:p>
            <w:pPr>
              <w:jc w:val="center"/>
              <w:rPr>
                <w:szCs w:val="21"/>
              </w:rPr>
            </w:pPr>
          </w:p>
        </w:tc>
        <w:tc>
          <w:tcPr>
            <w:tcW w:w="1920" w:type="dxa"/>
            <w:vAlign w:val="center"/>
          </w:tcPr>
          <w:p>
            <w:pPr>
              <w:keepNext w:val="0"/>
              <w:keepLines w:val="0"/>
              <w:widowControl/>
              <w:suppressLineNumbers w:val="0"/>
              <w:jc w:val="both"/>
              <w:textAlignment w:val="center"/>
              <w:rPr>
                <w:szCs w:val="21"/>
              </w:rPr>
            </w:pPr>
            <w:r>
              <w:rPr>
                <w:rFonts w:hint="eastAsia" w:ascii="宋体" w:hAnsi="宋体" w:eastAsia="宋体" w:cs="宋体"/>
                <w:i w:val="0"/>
                <w:iCs w:val="0"/>
                <w:color w:val="000000"/>
                <w:kern w:val="0"/>
                <w:sz w:val="21"/>
                <w:szCs w:val="21"/>
                <w:u w:val="none"/>
                <w:lang w:val="en-US" w:eastAsia="zh-CN" w:bidi="ar"/>
              </w:rPr>
              <w:t>专业群课程平台</w:t>
            </w:r>
          </w:p>
        </w:tc>
        <w:tc>
          <w:tcPr>
            <w:tcW w:w="915" w:type="dxa"/>
            <w:vAlign w:val="center"/>
          </w:tcPr>
          <w:p>
            <w:pPr>
              <w:keepNext w:val="0"/>
              <w:keepLines w:val="0"/>
              <w:widowControl/>
              <w:suppressLineNumbers w:val="0"/>
              <w:jc w:val="center"/>
              <w:textAlignment w:val="center"/>
              <w:rPr>
                <w:rFonts w:hint="default" w:eastAsia="宋体"/>
                <w:szCs w:val="21"/>
                <w:lang w:val="en-US" w:eastAsia="zh-CN"/>
              </w:rPr>
            </w:pPr>
            <w:r>
              <w:rPr>
                <w:rFonts w:hint="default" w:ascii="Calibri" w:hAnsi="Calibri" w:eastAsia="宋体" w:cs="Calibri"/>
                <w:i w:val="0"/>
                <w:iCs w:val="0"/>
                <w:color w:val="000000"/>
                <w:kern w:val="0"/>
                <w:sz w:val="21"/>
                <w:szCs w:val="21"/>
                <w:u w:val="none"/>
                <w:lang w:val="en-US" w:eastAsia="zh-CN" w:bidi="ar"/>
              </w:rPr>
              <w:t>32</w:t>
            </w:r>
          </w:p>
        </w:tc>
        <w:tc>
          <w:tcPr>
            <w:tcW w:w="992" w:type="dxa"/>
            <w:vAlign w:val="center"/>
          </w:tcPr>
          <w:p>
            <w:pPr>
              <w:keepNext w:val="0"/>
              <w:keepLines w:val="0"/>
              <w:widowControl/>
              <w:suppressLineNumbers w:val="0"/>
              <w:jc w:val="center"/>
              <w:textAlignment w:val="center"/>
              <w:rPr>
                <w:rFonts w:hint="default" w:eastAsia="宋体"/>
                <w:szCs w:val="21"/>
                <w:lang w:val="en-US" w:eastAsia="zh-CN"/>
              </w:rPr>
            </w:pPr>
            <w:r>
              <w:rPr>
                <w:rFonts w:hint="default" w:ascii="Calibri" w:hAnsi="Calibri" w:eastAsia="宋体" w:cs="Calibri"/>
                <w:i w:val="0"/>
                <w:iCs w:val="0"/>
                <w:color w:val="000000"/>
                <w:kern w:val="0"/>
                <w:sz w:val="21"/>
                <w:szCs w:val="21"/>
                <w:u w:val="none"/>
                <w:lang w:val="en-US" w:eastAsia="zh-CN" w:bidi="ar"/>
              </w:rPr>
              <w:t>512</w:t>
            </w:r>
          </w:p>
        </w:tc>
        <w:tc>
          <w:tcPr>
            <w:tcW w:w="854" w:type="dxa"/>
            <w:vAlign w:val="center"/>
          </w:tcPr>
          <w:p>
            <w:pPr>
              <w:keepNext w:val="0"/>
              <w:keepLines w:val="0"/>
              <w:widowControl/>
              <w:suppressLineNumbers w:val="0"/>
              <w:jc w:val="center"/>
              <w:textAlignment w:val="center"/>
              <w:rPr>
                <w:rFonts w:hint="default" w:eastAsia="宋体"/>
                <w:szCs w:val="21"/>
                <w:lang w:val="en-US" w:eastAsia="zh-CN"/>
              </w:rPr>
            </w:pPr>
            <w:r>
              <w:rPr>
                <w:rFonts w:hint="default" w:ascii="Calibri" w:hAnsi="Calibri" w:eastAsia="宋体" w:cs="Calibri"/>
                <w:i w:val="0"/>
                <w:iCs w:val="0"/>
                <w:color w:val="000000"/>
                <w:kern w:val="0"/>
                <w:sz w:val="21"/>
                <w:szCs w:val="21"/>
                <w:u w:val="none"/>
                <w:lang w:val="en-US" w:eastAsia="zh-CN" w:bidi="ar"/>
              </w:rPr>
              <w:t>288</w:t>
            </w:r>
          </w:p>
        </w:tc>
        <w:tc>
          <w:tcPr>
            <w:tcW w:w="900" w:type="dxa"/>
            <w:vAlign w:val="center"/>
          </w:tcPr>
          <w:p>
            <w:pPr>
              <w:keepNext w:val="0"/>
              <w:keepLines w:val="0"/>
              <w:widowControl/>
              <w:suppressLineNumbers w:val="0"/>
              <w:jc w:val="center"/>
              <w:textAlignment w:val="center"/>
              <w:rPr>
                <w:rFonts w:hint="default" w:eastAsia="宋体"/>
                <w:szCs w:val="21"/>
                <w:lang w:val="en-US" w:eastAsia="zh-CN"/>
              </w:rPr>
            </w:pPr>
            <w:r>
              <w:rPr>
                <w:rFonts w:hint="default" w:ascii="Calibri" w:hAnsi="Calibri" w:eastAsia="宋体" w:cs="Calibri"/>
                <w:i w:val="0"/>
                <w:iCs w:val="0"/>
                <w:color w:val="000000"/>
                <w:kern w:val="0"/>
                <w:sz w:val="21"/>
                <w:szCs w:val="21"/>
                <w:u w:val="none"/>
                <w:lang w:val="en-US" w:eastAsia="zh-CN" w:bidi="ar"/>
              </w:rPr>
              <w:t>224</w:t>
            </w:r>
          </w:p>
        </w:tc>
        <w:tc>
          <w:tcPr>
            <w:tcW w:w="1873"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19.28%</w:t>
            </w:r>
          </w:p>
        </w:tc>
      </w:tr>
      <w:tr>
        <w:trPr>
          <w:trHeight w:val="454" w:hRule="atLeast"/>
        </w:trPr>
        <w:tc>
          <w:tcPr>
            <w:tcW w:w="959" w:type="dxa"/>
            <w:vMerge w:val="continue"/>
            <w:vAlign w:val="center"/>
          </w:tcPr>
          <w:p>
            <w:pPr>
              <w:jc w:val="center"/>
              <w:rPr>
                <w:szCs w:val="21"/>
              </w:rPr>
            </w:pPr>
          </w:p>
        </w:tc>
        <w:tc>
          <w:tcPr>
            <w:tcW w:w="1920" w:type="dxa"/>
            <w:vAlign w:val="center"/>
          </w:tcPr>
          <w:p>
            <w:pPr>
              <w:keepNext w:val="0"/>
              <w:keepLines w:val="0"/>
              <w:widowControl/>
              <w:suppressLineNumbers w:val="0"/>
              <w:jc w:val="both"/>
              <w:textAlignment w:val="center"/>
              <w:rPr>
                <w:szCs w:val="21"/>
              </w:rPr>
            </w:pPr>
            <w:r>
              <w:rPr>
                <w:rFonts w:hint="eastAsia" w:ascii="宋体" w:hAnsi="宋体" w:eastAsia="宋体" w:cs="宋体"/>
                <w:i w:val="0"/>
                <w:iCs w:val="0"/>
                <w:color w:val="000000"/>
                <w:kern w:val="0"/>
                <w:sz w:val="21"/>
                <w:szCs w:val="21"/>
                <w:u w:val="none"/>
                <w:lang w:val="en-US" w:eastAsia="zh-CN" w:bidi="ar"/>
              </w:rPr>
              <w:t>专业核心能力课程模块</w:t>
            </w:r>
          </w:p>
        </w:tc>
        <w:tc>
          <w:tcPr>
            <w:tcW w:w="915" w:type="dxa"/>
            <w:vAlign w:val="center"/>
          </w:tcPr>
          <w:p>
            <w:pPr>
              <w:keepNext w:val="0"/>
              <w:keepLines w:val="0"/>
              <w:widowControl/>
              <w:suppressLineNumbers w:val="0"/>
              <w:jc w:val="center"/>
              <w:textAlignment w:val="center"/>
              <w:rPr>
                <w:rFonts w:hint="default" w:eastAsia="宋体"/>
                <w:szCs w:val="21"/>
                <w:lang w:val="en-US" w:eastAsia="zh-CN"/>
              </w:rPr>
            </w:pPr>
            <w:r>
              <w:rPr>
                <w:rFonts w:hint="default" w:ascii="Calibri" w:hAnsi="Calibri" w:eastAsia="宋体" w:cs="Calibri"/>
                <w:i w:val="0"/>
                <w:iCs w:val="0"/>
                <w:color w:val="000000"/>
                <w:kern w:val="0"/>
                <w:sz w:val="21"/>
                <w:szCs w:val="21"/>
                <w:u w:val="none"/>
                <w:lang w:val="en-US" w:eastAsia="zh-CN" w:bidi="ar"/>
              </w:rPr>
              <w:t>22</w:t>
            </w:r>
          </w:p>
        </w:tc>
        <w:tc>
          <w:tcPr>
            <w:tcW w:w="992" w:type="dxa"/>
            <w:vAlign w:val="center"/>
          </w:tcPr>
          <w:p>
            <w:pPr>
              <w:keepNext w:val="0"/>
              <w:keepLines w:val="0"/>
              <w:widowControl/>
              <w:suppressLineNumbers w:val="0"/>
              <w:jc w:val="center"/>
              <w:textAlignment w:val="center"/>
              <w:rPr>
                <w:rFonts w:hint="default" w:eastAsia="宋体"/>
                <w:szCs w:val="21"/>
                <w:lang w:val="en-US" w:eastAsia="zh-CN"/>
              </w:rPr>
            </w:pPr>
            <w:r>
              <w:rPr>
                <w:rFonts w:hint="default" w:ascii="Calibri" w:hAnsi="Calibri" w:eastAsia="宋体" w:cs="Calibri"/>
                <w:i w:val="0"/>
                <w:iCs w:val="0"/>
                <w:color w:val="000000"/>
                <w:kern w:val="0"/>
                <w:sz w:val="21"/>
                <w:szCs w:val="21"/>
                <w:u w:val="none"/>
                <w:lang w:val="en-US" w:eastAsia="zh-CN" w:bidi="ar"/>
              </w:rPr>
              <w:t>352</w:t>
            </w:r>
          </w:p>
        </w:tc>
        <w:tc>
          <w:tcPr>
            <w:tcW w:w="854" w:type="dxa"/>
            <w:vAlign w:val="center"/>
          </w:tcPr>
          <w:p>
            <w:pPr>
              <w:keepNext w:val="0"/>
              <w:keepLines w:val="0"/>
              <w:widowControl/>
              <w:suppressLineNumbers w:val="0"/>
              <w:jc w:val="center"/>
              <w:textAlignment w:val="center"/>
              <w:rPr>
                <w:rFonts w:hint="default" w:eastAsia="宋体"/>
                <w:szCs w:val="21"/>
                <w:lang w:val="en-US" w:eastAsia="zh-CN"/>
              </w:rPr>
            </w:pPr>
            <w:r>
              <w:rPr>
                <w:rFonts w:hint="default" w:ascii="Calibri" w:hAnsi="Calibri" w:eastAsia="宋体" w:cs="Calibri"/>
                <w:i w:val="0"/>
                <w:iCs w:val="0"/>
                <w:color w:val="000000"/>
                <w:kern w:val="0"/>
                <w:sz w:val="21"/>
                <w:szCs w:val="21"/>
                <w:u w:val="none"/>
                <w:lang w:val="en-US" w:eastAsia="zh-CN" w:bidi="ar"/>
              </w:rPr>
              <w:t>176</w:t>
            </w:r>
          </w:p>
        </w:tc>
        <w:tc>
          <w:tcPr>
            <w:tcW w:w="900" w:type="dxa"/>
            <w:vAlign w:val="center"/>
          </w:tcPr>
          <w:p>
            <w:pPr>
              <w:keepNext w:val="0"/>
              <w:keepLines w:val="0"/>
              <w:widowControl/>
              <w:suppressLineNumbers w:val="0"/>
              <w:jc w:val="center"/>
              <w:textAlignment w:val="center"/>
              <w:rPr>
                <w:rFonts w:hint="default" w:eastAsia="宋体"/>
                <w:szCs w:val="21"/>
                <w:lang w:val="en-US" w:eastAsia="zh-CN"/>
              </w:rPr>
            </w:pPr>
            <w:r>
              <w:rPr>
                <w:rFonts w:hint="default" w:ascii="Calibri" w:hAnsi="Calibri" w:eastAsia="宋体" w:cs="Calibri"/>
                <w:i w:val="0"/>
                <w:iCs w:val="0"/>
                <w:color w:val="000000"/>
                <w:kern w:val="0"/>
                <w:sz w:val="21"/>
                <w:szCs w:val="21"/>
                <w:u w:val="none"/>
                <w:lang w:val="en-US" w:eastAsia="zh-CN" w:bidi="ar"/>
              </w:rPr>
              <w:t>176</w:t>
            </w:r>
          </w:p>
        </w:tc>
        <w:tc>
          <w:tcPr>
            <w:tcW w:w="1873"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13.25%</w:t>
            </w:r>
          </w:p>
        </w:tc>
      </w:tr>
      <w:tr>
        <w:trPr>
          <w:trHeight w:val="454" w:hRule="atLeast"/>
        </w:trPr>
        <w:tc>
          <w:tcPr>
            <w:tcW w:w="959" w:type="dxa"/>
            <w:vMerge w:val="continue"/>
            <w:vAlign w:val="center"/>
          </w:tcPr>
          <w:p>
            <w:pPr>
              <w:jc w:val="center"/>
              <w:rPr>
                <w:szCs w:val="21"/>
              </w:rPr>
            </w:pPr>
          </w:p>
        </w:tc>
        <w:tc>
          <w:tcPr>
            <w:tcW w:w="1920" w:type="dxa"/>
            <w:vAlign w:val="center"/>
          </w:tcPr>
          <w:p>
            <w:pPr>
              <w:keepNext w:val="0"/>
              <w:keepLines w:val="0"/>
              <w:widowControl/>
              <w:suppressLineNumbers w:val="0"/>
              <w:jc w:val="both"/>
              <w:textAlignment w:val="center"/>
              <w:rPr>
                <w:rFonts w:ascii="宋体" w:hAnsi="宋体" w:cs="宋体"/>
                <w:szCs w:val="21"/>
              </w:rPr>
            </w:pPr>
            <w:r>
              <w:rPr>
                <w:rFonts w:hint="eastAsia" w:ascii="宋体" w:hAnsi="宋体" w:eastAsia="宋体" w:cs="宋体"/>
                <w:i w:val="0"/>
                <w:iCs w:val="0"/>
                <w:color w:val="000000"/>
                <w:kern w:val="0"/>
                <w:sz w:val="21"/>
                <w:szCs w:val="21"/>
                <w:u w:val="none"/>
                <w:lang w:val="en-US" w:eastAsia="zh-CN" w:bidi="ar"/>
              </w:rPr>
              <w:t>专业实践课程</w:t>
            </w:r>
          </w:p>
        </w:tc>
        <w:tc>
          <w:tcPr>
            <w:tcW w:w="915" w:type="dxa"/>
            <w:vAlign w:val="center"/>
          </w:tcPr>
          <w:p>
            <w:pPr>
              <w:keepNext w:val="0"/>
              <w:keepLines w:val="0"/>
              <w:widowControl/>
              <w:suppressLineNumbers w:val="0"/>
              <w:jc w:val="center"/>
              <w:textAlignment w:val="center"/>
              <w:rPr>
                <w:rFonts w:hint="default" w:eastAsia="宋体"/>
                <w:szCs w:val="21"/>
                <w:lang w:val="en-US" w:eastAsia="zh-CN"/>
              </w:rPr>
            </w:pPr>
            <w:r>
              <w:rPr>
                <w:rFonts w:hint="default" w:ascii="Calibri" w:hAnsi="Calibri" w:eastAsia="宋体" w:cs="Calibri"/>
                <w:i w:val="0"/>
                <w:iCs w:val="0"/>
                <w:color w:val="000000"/>
                <w:kern w:val="0"/>
                <w:sz w:val="21"/>
                <w:szCs w:val="21"/>
                <w:u w:val="none"/>
                <w:lang w:val="en-US" w:eastAsia="zh-CN" w:bidi="ar"/>
              </w:rPr>
              <w:t>22</w:t>
            </w:r>
          </w:p>
        </w:tc>
        <w:tc>
          <w:tcPr>
            <w:tcW w:w="992" w:type="dxa"/>
            <w:vAlign w:val="center"/>
          </w:tcPr>
          <w:p>
            <w:pPr>
              <w:keepNext w:val="0"/>
              <w:keepLines w:val="0"/>
              <w:widowControl/>
              <w:suppressLineNumbers w:val="0"/>
              <w:jc w:val="center"/>
              <w:textAlignment w:val="center"/>
              <w:rPr>
                <w:rFonts w:hint="default" w:eastAsia="宋体"/>
                <w:szCs w:val="21"/>
                <w:lang w:val="en-US" w:eastAsia="zh-CN"/>
              </w:rPr>
            </w:pPr>
            <w:r>
              <w:rPr>
                <w:rFonts w:hint="default" w:ascii="Calibri" w:hAnsi="Calibri" w:eastAsia="宋体" w:cs="Calibri"/>
                <w:i w:val="0"/>
                <w:iCs w:val="0"/>
                <w:color w:val="000000"/>
                <w:kern w:val="0"/>
                <w:sz w:val="21"/>
                <w:szCs w:val="21"/>
                <w:u w:val="none"/>
                <w:lang w:val="en-US" w:eastAsia="zh-CN" w:bidi="ar"/>
              </w:rPr>
              <w:t>704</w:t>
            </w:r>
          </w:p>
        </w:tc>
        <w:tc>
          <w:tcPr>
            <w:tcW w:w="854" w:type="dxa"/>
            <w:vAlign w:val="center"/>
          </w:tcPr>
          <w:p>
            <w:pPr>
              <w:keepNext w:val="0"/>
              <w:keepLines w:val="0"/>
              <w:widowControl/>
              <w:suppressLineNumbers w:val="0"/>
              <w:jc w:val="center"/>
              <w:textAlignment w:val="center"/>
              <w:rPr>
                <w:rFonts w:hint="eastAsia" w:eastAsia="宋体"/>
                <w:szCs w:val="21"/>
                <w:lang w:val="en-US" w:eastAsia="zh-CN"/>
              </w:rPr>
            </w:pPr>
            <w:r>
              <w:rPr>
                <w:rFonts w:hint="default" w:ascii="Calibri" w:hAnsi="Calibri" w:eastAsia="宋体" w:cs="Calibri"/>
                <w:i w:val="0"/>
                <w:iCs w:val="0"/>
                <w:color w:val="000000"/>
                <w:kern w:val="0"/>
                <w:sz w:val="21"/>
                <w:szCs w:val="21"/>
                <w:u w:val="none"/>
                <w:lang w:val="en-US" w:eastAsia="zh-CN" w:bidi="ar"/>
              </w:rPr>
              <w:t>0</w:t>
            </w:r>
          </w:p>
        </w:tc>
        <w:tc>
          <w:tcPr>
            <w:tcW w:w="900" w:type="dxa"/>
            <w:vAlign w:val="center"/>
          </w:tcPr>
          <w:p>
            <w:pPr>
              <w:keepNext w:val="0"/>
              <w:keepLines w:val="0"/>
              <w:widowControl/>
              <w:suppressLineNumbers w:val="0"/>
              <w:jc w:val="center"/>
              <w:textAlignment w:val="center"/>
              <w:rPr>
                <w:rFonts w:hint="default" w:eastAsia="宋体"/>
                <w:szCs w:val="21"/>
                <w:lang w:val="en-US" w:eastAsia="zh-CN"/>
              </w:rPr>
            </w:pPr>
            <w:r>
              <w:rPr>
                <w:rFonts w:hint="default" w:ascii="Calibri" w:hAnsi="Calibri" w:eastAsia="宋体" w:cs="Calibri"/>
                <w:i w:val="0"/>
                <w:iCs w:val="0"/>
                <w:color w:val="000000"/>
                <w:kern w:val="0"/>
                <w:sz w:val="21"/>
                <w:szCs w:val="21"/>
                <w:u w:val="none"/>
                <w:lang w:val="en-US" w:eastAsia="zh-CN" w:bidi="ar"/>
              </w:rPr>
              <w:t>704</w:t>
            </w:r>
          </w:p>
        </w:tc>
        <w:tc>
          <w:tcPr>
            <w:tcW w:w="1873"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26.51%</w:t>
            </w:r>
          </w:p>
        </w:tc>
      </w:tr>
      <w:tr>
        <w:trPr>
          <w:trHeight w:val="567" w:hRule="atLeast"/>
        </w:trPr>
        <w:tc>
          <w:tcPr>
            <w:tcW w:w="2879" w:type="dxa"/>
            <w:gridSpan w:val="2"/>
            <w:vAlign w:val="center"/>
          </w:tcPr>
          <w:p>
            <w:pPr>
              <w:keepNext w:val="0"/>
              <w:keepLines w:val="0"/>
              <w:widowControl/>
              <w:suppressLineNumbers w:val="0"/>
              <w:jc w:val="center"/>
              <w:textAlignment w:val="center"/>
              <w:rPr>
                <w:szCs w:val="21"/>
              </w:rPr>
            </w:pPr>
            <w:r>
              <w:rPr>
                <w:rFonts w:hint="eastAsia" w:ascii="宋体" w:hAnsi="宋体" w:eastAsia="宋体" w:cs="宋体"/>
                <w:i w:val="0"/>
                <w:iCs w:val="0"/>
                <w:color w:val="000000"/>
                <w:kern w:val="0"/>
                <w:sz w:val="21"/>
                <w:szCs w:val="21"/>
                <w:u w:val="none"/>
                <w:lang w:val="en-US" w:eastAsia="zh-CN" w:bidi="ar"/>
              </w:rPr>
              <w:t>必修课合计</w:t>
            </w:r>
          </w:p>
        </w:tc>
        <w:tc>
          <w:tcPr>
            <w:tcW w:w="915"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123</w:t>
            </w:r>
          </w:p>
        </w:tc>
        <w:tc>
          <w:tcPr>
            <w:tcW w:w="992"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2368</w:t>
            </w:r>
          </w:p>
        </w:tc>
        <w:tc>
          <w:tcPr>
            <w:tcW w:w="854"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958</w:t>
            </w:r>
          </w:p>
        </w:tc>
        <w:tc>
          <w:tcPr>
            <w:tcW w:w="900"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1410</w:t>
            </w:r>
          </w:p>
        </w:tc>
        <w:tc>
          <w:tcPr>
            <w:tcW w:w="1873"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89.16%</w:t>
            </w:r>
          </w:p>
        </w:tc>
      </w:tr>
      <w:tr>
        <w:trPr>
          <w:trHeight w:val="454" w:hRule="atLeast"/>
        </w:trPr>
        <w:tc>
          <w:tcPr>
            <w:tcW w:w="959" w:type="dxa"/>
            <w:vMerge w:val="restart"/>
            <w:vAlign w:val="center"/>
          </w:tcPr>
          <w:p>
            <w:pPr>
              <w:keepNext w:val="0"/>
              <w:keepLines w:val="0"/>
              <w:widowControl/>
              <w:suppressLineNumbers w:val="0"/>
              <w:jc w:val="center"/>
              <w:textAlignment w:val="center"/>
              <w:rPr>
                <w:szCs w:val="21"/>
              </w:rPr>
            </w:pPr>
            <w:r>
              <w:rPr>
                <w:rFonts w:hint="eastAsia" w:ascii="宋体" w:hAnsi="宋体" w:eastAsia="宋体" w:cs="宋体"/>
                <w:i w:val="0"/>
                <w:iCs w:val="0"/>
                <w:color w:val="000000"/>
                <w:kern w:val="0"/>
                <w:sz w:val="21"/>
                <w:szCs w:val="21"/>
                <w:u w:val="none"/>
                <w:lang w:val="en-US" w:eastAsia="zh-CN" w:bidi="ar"/>
              </w:rPr>
              <w:t>选修课</w:t>
            </w:r>
          </w:p>
        </w:tc>
        <w:tc>
          <w:tcPr>
            <w:tcW w:w="1920" w:type="dxa"/>
            <w:vAlign w:val="center"/>
          </w:tcPr>
          <w:p>
            <w:pPr>
              <w:keepNext w:val="0"/>
              <w:keepLines w:val="0"/>
              <w:widowControl/>
              <w:suppressLineNumbers w:val="0"/>
              <w:jc w:val="both"/>
              <w:textAlignment w:val="center"/>
              <w:rPr>
                <w:szCs w:val="21"/>
              </w:rPr>
            </w:pPr>
            <w:r>
              <w:rPr>
                <w:rFonts w:hint="eastAsia" w:ascii="宋体" w:hAnsi="宋体" w:eastAsia="宋体" w:cs="宋体"/>
                <w:i w:val="0"/>
                <w:iCs w:val="0"/>
                <w:color w:val="000000"/>
                <w:kern w:val="0"/>
                <w:sz w:val="21"/>
                <w:szCs w:val="21"/>
                <w:u w:val="none"/>
                <w:lang w:val="en-US" w:eastAsia="zh-CN" w:bidi="ar"/>
              </w:rPr>
              <w:t>素质能力选修课程平台</w:t>
            </w:r>
          </w:p>
        </w:tc>
        <w:tc>
          <w:tcPr>
            <w:tcW w:w="915"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8</w:t>
            </w:r>
          </w:p>
        </w:tc>
        <w:tc>
          <w:tcPr>
            <w:tcW w:w="992"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128</w:t>
            </w:r>
          </w:p>
        </w:tc>
        <w:tc>
          <w:tcPr>
            <w:tcW w:w="854"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96</w:t>
            </w:r>
          </w:p>
        </w:tc>
        <w:tc>
          <w:tcPr>
            <w:tcW w:w="900"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32</w:t>
            </w:r>
          </w:p>
        </w:tc>
        <w:tc>
          <w:tcPr>
            <w:tcW w:w="1873"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4.82%</w:t>
            </w:r>
          </w:p>
        </w:tc>
      </w:tr>
      <w:tr>
        <w:trPr>
          <w:trHeight w:val="454" w:hRule="atLeast"/>
        </w:trPr>
        <w:tc>
          <w:tcPr>
            <w:tcW w:w="959" w:type="dxa"/>
            <w:vMerge w:val="continue"/>
            <w:vAlign w:val="center"/>
          </w:tcPr>
          <w:p>
            <w:pPr>
              <w:jc w:val="center"/>
              <w:rPr>
                <w:szCs w:val="21"/>
              </w:rPr>
            </w:pPr>
          </w:p>
        </w:tc>
        <w:tc>
          <w:tcPr>
            <w:tcW w:w="1920" w:type="dxa"/>
            <w:vAlign w:val="center"/>
          </w:tcPr>
          <w:p>
            <w:pPr>
              <w:keepNext w:val="0"/>
              <w:keepLines w:val="0"/>
              <w:widowControl/>
              <w:suppressLineNumbers w:val="0"/>
              <w:jc w:val="both"/>
              <w:textAlignment w:val="center"/>
              <w:rPr>
                <w:szCs w:val="21"/>
              </w:rPr>
            </w:pPr>
            <w:r>
              <w:rPr>
                <w:rFonts w:hint="eastAsia" w:ascii="宋体" w:hAnsi="宋体" w:eastAsia="宋体" w:cs="宋体"/>
                <w:i w:val="0"/>
                <w:iCs w:val="0"/>
                <w:color w:val="000000"/>
                <w:kern w:val="0"/>
                <w:sz w:val="21"/>
                <w:szCs w:val="21"/>
                <w:u w:val="none"/>
                <w:lang w:val="en-US" w:eastAsia="zh-CN" w:bidi="ar"/>
              </w:rPr>
              <w:t>专业拓展选修课程模块</w:t>
            </w:r>
          </w:p>
        </w:tc>
        <w:tc>
          <w:tcPr>
            <w:tcW w:w="915"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10</w:t>
            </w:r>
          </w:p>
        </w:tc>
        <w:tc>
          <w:tcPr>
            <w:tcW w:w="992"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160</w:t>
            </w:r>
          </w:p>
        </w:tc>
        <w:tc>
          <w:tcPr>
            <w:tcW w:w="854"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80</w:t>
            </w:r>
          </w:p>
        </w:tc>
        <w:tc>
          <w:tcPr>
            <w:tcW w:w="900"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80</w:t>
            </w:r>
          </w:p>
        </w:tc>
        <w:tc>
          <w:tcPr>
            <w:tcW w:w="1873"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6.02%</w:t>
            </w:r>
          </w:p>
        </w:tc>
      </w:tr>
      <w:tr>
        <w:trPr>
          <w:trHeight w:val="567" w:hRule="atLeast"/>
        </w:trPr>
        <w:tc>
          <w:tcPr>
            <w:tcW w:w="2879" w:type="dxa"/>
            <w:gridSpan w:val="2"/>
            <w:vAlign w:val="center"/>
          </w:tcPr>
          <w:p>
            <w:pPr>
              <w:keepNext w:val="0"/>
              <w:keepLines w:val="0"/>
              <w:widowControl/>
              <w:suppressLineNumbers w:val="0"/>
              <w:jc w:val="center"/>
              <w:textAlignment w:val="center"/>
              <w:rPr>
                <w:szCs w:val="21"/>
              </w:rPr>
            </w:pPr>
            <w:r>
              <w:rPr>
                <w:rFonts w:hint="eastAsia" w:ascii="宋体" w:hAnsi="宋体" w:eastAsia="宋体" w:cs="宋体"/>
                <w:i w:val="0"/>
                <w:iCs w:val="0"/>
                <w:color w:val="000000"/>
                <w:kern w:val="0"/>
                <w:sz w:val="21"/>
                <w:szCs w:val="21"/>
                <w:u w:val="none"/>
                <w:lang w:val="en-US" w:eastAsia="zh-CN" w:bidi="ar"/>
              </w:rPr>
              <w:t>选修课合计</w:t>
            </w:r>
          </w:p>
        </w:tc>
        <w:tc>
          <w:tcPr>
            <w:tcW w:w="915"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18</w:t>
            </w:r>
          </w:p>
        </w:tc>
        <w:tc>
          <w:tcPr>
            <w:tcW w:w="992"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288</w:t>
            </w:r>
          </w:p>
        </w:tc>
        <w:tc>
          <w:tcPr>
            <w:tcW w:w="854"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176</w:t>
            </w:r>
          </w:p>
        </w:tc>
        <w:tc>
          <w:tcPr>
            <w:tcW w:w="900"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112</w:t>
            </w:r>
          </w:p>
        </w:tc>
        <w:tc>
          <w:tcPr>
            <w:tcW w:w="1873" w:type="dxa"/>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10.84%</w:t>
            </w:r>
          </w:p>
        </w:tc>
      </w:tr>
      <w:tr>
        <w:trPr>
          <w:trHeight w:val="680" w:hRule="atLeast"/>
        </w:trPr>
        <w:tc>
          <w:tcPr>
            <w:tcW w:w="2879" w:type="dxa"/>
            <w:gridSpan w:val="2"/>
            <w:vMerge w:val="restart"/>
            <w:vAlign w:val="center"/>
          </w:tcPr>
          <w:p>
            <w:pPr>
              <w:jc w:val="center"/>
              <w:rPr>
                <w:rFonts w:ascii="宋体" w:hAnsi="宋体" w:cs="宋体"/>
                <w:szCs w:val="21"/>
              </w:rPr>
            </w:pPr>
            <w:r>
              <w:rPr>
                <w:rFonts w:hint="eastAsia" w:ascii="宋体" w:hAnsi="宋体" w:cs="宋体"/>
                <w:szCs w:val="21"/>
              </w:rPr>
              <w:t>总计</w:t>
            </w:r>
          </w:p>
        </w:tc>
        <w:tc>
          <w:tcPr>
            <w:tcW w:w="915" w:type="dxa"/>
            <w:vMerge w:val="restart"/>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141</w:t>
            </w:r>
          </w:p>
        </w:tc>
        <w:tc>
          <w:tcPr>
            <w:tcW w:w="992" w:type="dxa"/>
            <w:vMerge w:val="restart"/>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2656</w:t>
            </w:r>
          </w:p>
        </w:tc>
        <w:tc>
          <w:tcPr>
            <w:tcW w:w="854" w:type="dxa"/>
            <w:vMerge w:val="restart"/>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1134</w:t>
            </w:r>
          </w:p>
        </w:tc>
        <w:tc>
          <w:tcPr>
            <w:tcW w:w="900" w:type="dxa"/>
            <w:vMerge w:val="restart"/>
            <w:vAlign w:val="center"/>
          </w:tcPr>
          <w:p>
            <w:pPr>
              <w:keepNext w:val="0"/>
              <w:keepLines w:val="0"/>
              <w:widowControl/>
              <w:suppressLineNumbers w:val="0"/>
              <w:jc w:val="center"/>
              <w:textAlignment w:val="center"/>
              <w:rPr>
                <w:szCs w:val="21"/>
              </w:rPr>
            </w:pPr>
            <w:r>
              <w:rPr>
                <w:rFonts w:hint="default" w:ascii="Calibri" w:hAnsi="Calibri" w:eastAsia="宋体" w:cs="Calibri"/>
                <w:i w:val="0"/>
                <w:iCs w:val="0"/>
                <w:color w:val="000000"/>
                <w:kern w:val="0"/>
                <w:sz w:val="21"/>
                <w:szCs w:val="21"/>
                <w:u w:val="none"/>
                <w:lang w:val="en-US" w:eastAsia="zh-CN" w:bidi="ar"/>
              </w:rPr>
              <w:t>1522</w:t>
            </w:r>
          </w:p>
        </w:tc>
        <w:tc>
          <w:tcPr>
            <w:tcW w:w="1873" w:type="dxa"/>
            <w:vAlign w:val="center"/>
          </w:tcPr>
          <w:p>
            <w:pPr>
              <w:spacing w:line="240" w:lineRule="atLeast"/>
              <w:jc w:val="center"/>
              <w:rPr>
                <w:szCs w:val="21"/>
              </w:rPr>
            </w:pPr>
            <w:r>
              <w:rPr>
                <w:rFonts w:hint="eastAsia"/>
                <w:szCs w:val="21"/>
              </w:rPr>
              <w:t>实践学时占</w:t>
            </w:r>
          </w:p>
          <w:p>
            <w:pPr>
              <w:spacing w:line="240" w:lineRule="atLeast"/>
              <w:jc w:val="center"/>
              <w:rPr>
                <w:szCs w:val="21"/>
              </w:rPr>
            </w:pPr>
            <w:r>
              <w:rPr>
                <w:rFonts w:hint="eastAsia"/>
                <w:szCs w:val="21"/>
              </w:rPr>
              <w:t>总课时比例</w:t>
            </w:r>
          </w:p>
        </w:tc>
      </w:tr>
      <w:tr>
        <w:trPr>
          <w:trHeight w:val="454" w:hRule="atLeast"/>
        </w:trPr>
        <w:tc>
          <w:tcPr>
            <w:tcW w:w="2879" w:type="dxa"/>
            <w:gridSpan w:val="2"/>
            <w:vMerge w:val="continue"/>
            <w:vAlign w:val="center"/>
          </w:tcPr>
          <w:p>
            <w:pPr>
              <w:jc w:val="center"/>
              <w:rPr>
                <w:rFonts w:ascii="宋体" w:hAnsi="宋体" w:cs="宋体"/>
                <w:szCs w:val="21"/>
              </w:rPr>
            </w:pPr>
          </w:p>
        </w:tc>
        <w:tc>
          <w:tcPr>
            <w:tcW w:w="915" w:type="dxa"/>
            <w:vMerge w:val="continue"/>
            <w:vAlign w:val="center"/>
          </w:tcPr>
          <w:p>
            <w:pPr>
              <w:jc w:val="center"/>
              <w:rPr>
                <w:szCs w:val="21"/>
              </w:rPr>
            </w:pPr>
          </w:p>
        </w:tc>
        <w:tc>
          <w:tcPr>
            <w:tcW w:w="992" w:type="dxa"/>
            <w:vMerge w:val="continue"/>
            <w:vAlign w:val="center"/>
          </w:tcPr>
          <w:p>
            <w:pPr>
              <w:jc w:val="center"/>
              <w:rPr>
                <w:szCs w:val="21"/>
              </w:rPr>
            </w:pPr>
          </w:p>
        </w:tc>
        <w:tc>
          <w:tcPr>
            <w:tcW w:w="854" w:type="dxa"/>
            <w:vMerge w:val="continue"/>
            <w:vAlign w:val="center"/>
          </w:tcPr>
          <w:p>
            <w:pPr>
              <w:jc w:val="center"/>
              <w:rPr>
                <w:szCs w:val="21"/>
              </w:rPr>
            </w:pPr>
          </w:p>
        </w:tc>
        <w:tc>
          <w:tcPr>
            <w:tcW w:w="900" w:type="dxa"/>
            <w:vMerge w:val="continue"/>
            <w:vAlign w:val="center"/>
          </w:tcPr>
          <w:p>
            <w:pPr>
              <w:jc w:val="center"/>
              <w:rPr>
                <w:szCs w:val="21"/>
              </w:rPr>
            </w:pPr>
          </w:p>
        </w:tc>
        <w:tc>
          <w:tcPr>
            <w:tcW w:w="187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57.30%</w:t>
            </w:r>
          </w:p>
        </w:tc>
      </w:tr>
    </w:tbl>
    <w:p>
      <w:pPr>
        <w:adjustRightInd w:val="0"/>
        <w:snapToGrid w:val="0"/>
        <w:spacing w:before="312" w:beforeLines="100"/>
        <w:ind w:firstLine="480" w:firstLineChars="200"/>
        <w:rPr>
          <w:rFonts w:hint="eastAsia" w:ascii="宋体" w:hAnsi="宋体" w:cs="Angsana New"/>
          <w:b/>
          <w:bCs/>
          <w:sz w:val="24"/>
          <w:szCs w:val="24"/>
          <w:lang w:bidi="th-TH"/>
        </w:rPr>
      </w:pPr>
      <w:r>
        <w:rPr>
          <w:rFonts w:hint="eastAsia" w:ascii="宋体" w:hAnsi="宋体" w:cs="Angsana New"/>
          <w:b/>
          <w:bCs/>
          <w:sz w:val="24"/>
          <w:szCs w:val="24"/>
          <w:lang w:bidi="th-TH"/>
        </w:rPr>
        <w:t>（</w:t>
      </w:r>
      <w:r>
        <w:rPr>
          <w:rFonts w:hint="eastAsia" w:ascii="宋体" w:hAnsi="宋体" w:cs="Angsana New"/>
          <w:b/>
          <w:bCs/>
          <w:sz w:val="24"/>
          <w:szCs w:val="24"/>
          <w:lang w:val="en-US" w:eastAsia="zh-CN" w:bidi="th-TH"/>
        </w:rPr>
        <w:t>四</w:t>
      </w:r>
      <w:r>
        <w:rPr>
          <w:rFonts w:hint="eastAsia" w:ascii="宋体" w:hAnsi="宋体" w:cs="Angsana New"/>
          <w:b/>
          <w:bCs/>
          <w:sz w:val="24"/>
          <w:szCs w:val="24"/>
          <w:lang w:bidi="th-TH"/>
        </w:rPr>
        <w:t>）岗课赛证融通</w:t>
      </w:r>
    </w:p>
    <w:p>
      <w:pPr>
        <w:adjustRightInd w:val="0"/>
        <w:snapToGrid w:val="0"/>
        <w:spacing w:before="312" w:beforeLines="100"/>
        <w:ind w:firstLine="480" w:firstLineChars="200"/>
        <w:jc w:val="center"/>
        <w:rPr>
          <w:rFonts w:hint="eastAsia" w:ascii="宋体" w:hAnsi="宋体" w:cs="Angsana New"/>
          <w:b/>
          <w:bCs/>
          <w:sz w:val="24"/>
          <w:szCs w:val="24"/>
          <w:lang w:bidi="th-TH"/>
        </w:rPr>
      </w:pPr>
      <w:r>
        <w:rPr>
          <w:rFonts w:hint="eastAsia" w:ascii="宋体" w:hAnsi="宋体" w:cs="Angsana New"/>
          <w:b/>
          <w:sz w:val="24"/>
          <w:szCs w:val="24"/>
          <w:lang w:bidi="th-TH"/>
        </w:rPr>
        <w:t>表6  岗课赛证融通对应情况</w:t>
      </w:r>
    </w:p>
    <w:p>
      <w:pPr>
        <w:adjustRightInd w:val="0"/>
        <w:snapToGrid w:val="0"/>
        <w:spacing w:line="360" w:lineRule="auto"/>
        <w:jc w:val="center"/>
        <w:rPr>
          <w:rFonts w:ascii="宋体" w:hAnsi="宋体" w:cs="Angsana New"/>
          <w:b/>
          <w:sz w:val="24"/>
          <w:szCs w:val="24"/>
          <w:lang w:bidi="th-TH"/>
        </w:rPr>
      </w:pPr>
    </w:p>
    <w:tbl>
      <w:tblPr>
        <w:tblStyle w:val="13"/>
        <w:tblpPr w:leftFromText="180" w:rightFromText="180" w:vertAnchor="text" w:horzAnchor="page" w:tblpX="1844" w:tblpY="-40"/>
        <w:tblOverlap w:val="never"/>
        <w:tblW w:w="87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0"/>
        <w:gridCol w:w="882"/>
        <w:gridCol w:w="3103"/>
        <w:gridCol w:w="2446"/>
      </w:tblGrid>
      <w:tr>
        <w:trPr>
          <w:trHeight w:val="567" w:hRule="atLeast"/>
          <w:jc w:val="center"/>
        </w:trPr>
        <w:tc>
          <w:tcPr>
            <w:tcW w:w="2320" w:type="dxa"/>
            <w:vAlign w:val="center"/>
          </w:tcPr>
          <w:p>
            <w:pPr>
              <w:pStyle w:val="5"/>
              <w:ind w:firstLine="0" w:firstLineChars="0"/>
              <w:jc w:val="center"/>
              <w:rPr>
                <w:rFonts w:ascii="宋体" w:hAnsi="宋体"/>
                <w:b/>
                <w:sz w:val="21"/>
                <w:szCs w:val="21"/>
                <w:lang w:val="en-US"/>
              </w:rPr>
            </w:pPr>
            <w:r>
              <w:rPr>
                <w:rFonts w:hint="eastAsia" w:ascii="宋体" w:hAnsi="宋体"/>
                <w:b/>
                <w:sz w:val="21"/>
                <w:szCs w:val="21"/>
                <w:lang w:val="en-US"/>
              </w:rPr>
              <w:t>课程名称</w:t>
            </w:r>
          </w:p>
        </w:tc>
        <w:tc>
          <w:tcPr>
            <w:tcW w:w="882" w:type="dxa"/>
            <w:vAlign w:val="center"/>
          </w:tcPr>
          <w:p>
            <w:pPr>
              <w:pStyle w:val="5"/>
              <w:ind w:firstLine="0" w:firstLineChars="0"/>
              <w:jc w:val="center"/>
              <w:rPr>
                <w:rFonts w:ascii="宋体" w:hAnsi="宋体"/>
                <w:b/>
                <w:sz w:val="21"/>
                <w:szCs w:val="21"/>
                <w:lang w:val="en-US"/>
              </w:rPr>
            </w:pPr>
            <w:r>
              <w:rPr>
                <w:rFonts w:hint="eastAsia" w:ascii="宋体" w:hAnsi="宋体"/>
                <w:b/>
                <w:sz w:val="21"/>
                <w:szCs w:val="21"/>
                <w:lang w:val="en-US"/>
              </w:rPr>
              <w:t>学分</w:t>
            </w:r>
          </w:p>
        </w:tc>
        <w:tc>
          <w:tcPr>
            <w:tcW w:w="3103" w:type="dxa"/>
            <w:vAlign w:val="center"/>
          </w:tcPr>
          <w:p>
            <w:pPr>
              <w:pStyle w:val="5"/>
              <w:ind w:firstLine="0" w:firstLineChars="0"/>
              <w:jc w:val="center"/>
              <w:rPr>
                <w:rFonts w:ascii="宋体" w:hAnsi="宋体"/>
                <w:b/>
                <w:sz w:val="21"/>
                <w:szCs w:val="21"/>
                <w:lang w:val="en-US"/>
              </w:rPr>
            </w:pPr>
            <w:r>
              <w:rPr>
                <w:rFonts w:hint="eastAsia" w:ascii="宋体" w:hAnsi="宋体"/>
                <w:b/>
                <w:sz w:val="21"/>
                <w:szCs w:val="21"/>
                <w:lang w:val="en-US"/>
              </w:rPr>
              <w:t>对应的赛项</w:t>
            </w:r>
          </w:p>
        </w:tc>
        <w:tc>
          <w:tcPr>
            <w:tcW w:w="2446" w:type="dxa"/>
            <w:vAlign w:val="center"/>
          </w:tcPr>
          <w:p>
            <w:pPr>
              <w:pStyle w:val="5"/>
              <w:ind w:firstLine="0" w:firstLineChars="0"/>
              <w:jc w:val="center"/>
              <w:rPr>
                <w:rFonts w:ascii="宋体" w:hAnsi="宋体"/>
                <w:b/>
                <w:sz w:val="21"/>
                <w:szCs w:val="21"/>
                <w:lang w:val="en-US"/>
              </w:rPr>
            </w:pPr>
            <w:r>
              <w:rPr>
                <w:rFonts w:hint="eastAsia" w:ascii="宋体" w:hAnsi="宋体"/>
                <w:b/>
                <w:sz w:val="21"/>
                <w:szCs w:val="21"/>
                <w:lang w:val="en-US"/>
              </w:rPr>
              <w:t>对应的证书</w:t>
            </w:r>
          </w:p>
        </w:tc>
      </w:tr>
      <w:tr>
        <w:trPr>
          <w:trHeight w:val="454" w:hRule="atLeast"/>
          <w:jc w:val="center"/>
        </w:trPr>
        <w:tc>
          <w:tcPr>
            <w:tcW w:w="2320" w:type="dxa"/>
            <w:vAlign w:val="center"/>
          </w:tcPr>
          <w:p>
            <w:pPr>
              <w:widowControl/>
              <w:jc w:val="center"/>
              <w:rPr>
                <w:szCs w:val="21"/>
              </w:rPr>
            </w:pPr>
            <w:r>
              <w:rPr>
                <w:rFonts w:hint="eastAsia" w:ascii="宋体" w:hAnsi="宋体" w:cs="宋体"/>
                <w:color w:val="000000"/>
                <w:kern w:val="0"/>
                <w:szCs w:val="21"/>
                <w:lang w:val="en-US" w:eastAsia="zh-CN"/>
              </w:rPr>
              <w:t>移动通信网建设与维护</w:t>
            </w:r>
          </w:p>
        </w:tc>
        <w:tc>
          <w:tcPr>
            <w:tcW w:w="882" w:type="dxa"/>
            <w:vAlign w:val="center"/>
          </w:tcPr>
          <w:p>
            <w:pPr>
              <w:pStyle w:val="5"/>
              <w:ind w:firstLine="0" w:firstLineChars="0"/>
              <w:jc w:val="center"/>
              <w:rPr>
                <w:sz w:val="21"/>
                <w:szCs w:val="21"/>
                <w:lang w:val="en-US"/>
              </w:rPr>
            </w:pPr>
            <w:r>
              <w:rPr>
                <w:rFonts w:hint="eastAsia"/>
                <w:sz w:val="21"/>
                <w:szCs w:val="21"/>
                <w:lang w:val="en-US"/>
              </w:rPr>
              <w:t>4</w:t>
            </w:r>
          </w:p>
        </w:tc>
        <w:tc>
          <w:tcPr>
            <w:tcW w:w="3103" w:type="dxa"/>
            <w:vMerge w:val="restart"/>
            <w:vAlign w:val="center"/>
          </w:tcPr>
          <w:p>
            <w:pPr>
              <w:pStyle w:val="5"/>
              <w:ind w:firstLine="0" w:firstLineChars="0"/>
              <w:jc w:val="center"/>
              <w:rPr>
                <w:sz w:val="21"/>
                <w:szCs w:val="21"/>
                <w:lang w:val="en-US"/>
              </w:rPr>
            </w:pPr>
            <w:r>
              <w:rPr>
                <w:rFonts w:hint="eastAsia"/>
                <w:sz w:val="21"/>
                <w:szCs w:val="21"/>
                <w:lang w:val="en-US"/>
              </w:rPr>
              <w:t>5</w:t>
            </w:r>
            <w:r>
              <w:rPr>
                <w:sz w:val="21"/>
                <w:szCs w:val="21"/>
                <w:lang w:val="en-US"/>
              </w:rPr>
              <w:t>G组网与运维</w:t>
            </w:r>
          </w:p>
        </w:tc>
        <w:tc>
          <w:tcPr>
            <w:tcW w:w="2446" w:type="dxa"/>
            <w:vMerge w:val="restart"/>
            <w:vAlign w:val="center"/>
          </w:tcPr>
          <w:p>
            <w:pPr>
              <w:pStyle w:val="5"/>
              <w:ind w:firstLine="0" w:firstLineChars="0"/>
              <w:jc w:val="both"/>
              <w:rPr>
                <w:sz w:val="21"/>
                <w:szCs w:val="21"/>
                <w:lang w:val="en-US"/>
              </w:rPr>
            </w:pPr>
            <w:r>
              <w:rPr>
                <w:rFonts w:hint="eastAsia"/>
                <w:sz w:val="21"/>
                <w:szCs w:val="21"/>
                <w:lang w:val="en-US"/>
              </w:rPr>
              <w:t>5G基站建设与维护；5G移动网络运维</w:t>
            </w:r>
          </w:p>
        </w:tc>
      </w:tr>
      <w:tr>
        <w:trPr>
          <w:trHeight w:val="454" w:hRule="atLeast"/>
          <w:jc w:val="center"/>
        </w:trPr>
        <w:tc>
          <w:tcPr>
            <w:tcW w:w="2320" w:type="dxa"/>
            <w:vAlign w:val="center"/>
          </w:tcPr>
          <w:p>
            <w:pPr>
              <w:widowControl/>
              <w:jc w:val="center"/>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全网运维</w:t>
            </w:r>
          </w:p>
        </w:tc>
        <w:tc>
          <w:tcPr>
            <w:tcW w:w="882" w:type="dxa"/>
            <w:vAlign w:val="center"/>
          </w:tcPr>
          <w:p>
            <w:pPr>
              <w:pStyle w:val="5"/>
              <w:ind w:firstLine="0" w:firstLineChars="0"/>
              <w:jc w:val="center"/>
              <w:rPr>
                <w:rFonts w:hint="eastAsia" w:eastAsia="宋体"/>
                <w:sz w:val="21"/>
                <w:szCs w:val="21"/>
                <w:lang w:val="en-US" w:eastAsia="zh-CN"/>
              </w:rPr>
            </w:pPr>
            <w:r>
              <w:rPr>
                <w:rFonts w:hint="eastAsia"/>
                <w:sz w:val="21"/>
                <w:szCs w:val="21"/>
                <w:lang w:val="en-US" w:eastAsia="zh-CN"/>
              </w:rPr>
              <w:t>1</w:t>
            </w:r>
          </w:p>
        </w:tc>
        <w:tc>
          <w:tcPr>
            <w:tcW w:w="3103" w:type="dxa"/>
            <w:vMerge w:val="continue"/>
            <w:vAlign w:val="center"/>
          </w:tcPr>
          <w:p>
            <w:pPr>
              <w:pStyle w:val="5"/>
              <w:ind w:firstLine="0" w:firstLineChars="0"/>
              <w:jc w:val="center"/>
              <w:rPr>
                <w:rFonts w:hint="eastAsia"/>
                <w:sz w:val="21"/>
                <w:szCs w:val="21"/>
                <w:lang w:val="en-US"/>
              </w:rPr>
            </w:pPr>
          </w:p>
        </w:tc>
        <w:tc>
          <w:tcPr>
            <w:tcW w:w="2446" w:type="dxa"/>
            <w:vMerge w:val="continue"/>
            <w:vAlign w:val="center"/>
          </w:tcPr>
          <w:p>
            <w:pPr>
              <w:pStyle w:val="5"/>
              <w:ind w:firstLine="0" w:firstLineChars="0"/>
              <w:jc w:val="both"/>
              <w:rPr>
                <w:rFonts w:hint="eastAsia"/>
                <w:sz w:val="21"/>
                <w:szCs w:val="21"/>
                <w:lang w:val="en-US"/>
              </w:rPr>
            </w:pPr>
          </w:p>
        </w:tc>
      </w:tr>
      <w:tr>
        <w:trPr>
          <w:trHeight w:val="454" w:hRule="atLeast"/>
          <w:jc w:val="center"/>
        </w:trPr>
        <w:tc>
          <w:tcPr>
            <w:tcW w:w="2320" w:type="dxa"/>
            <w:vAlign w:val="center"/>
          </w:tcPr>
          <w:p>
            <w:pPr>
              <w:widowControl/>
              <w:jc w:val="center"/>
              <w:rPr>
                <w:rFonts w:ascii="Times New Roman" w:hAnsi="Times New Roman" w:cs="宋体"/>
                <w:kern w:val="0"/>
                <w:szCs w:val="21"/>
                <w:lang w:bidi="zh-CN"/>
              </w:rPr>
            </w:pPr>
            <w:r>
              <w:rPr>
                <w:rFonts w:hint="eastAsia" w:ascii="Times New Roman" w:hAnsi="Times New Roman" w:cs="宋体"/>
                <w:kern w:val="0"/>
                <w:szCs w:val="21"/>
                <w:lang w:bidi="zh-CN"/>
              </w:rPr>
              <w:t>通信工程制图</w:t>
            </w:r>
          </w:p>
        </w:tc>
        <w:tc>
          <w:tcPr>
            <w:tcW w:w="882" w:type="dxa"/>
            <w:vAlign w:val="center"/>
          </w:tcPr>
          <w:p>
            <w:pPr>
              <w:pStyle w:val="5"/>
              <w:ind w:firstLine="0" w:firstLineChars="0"/>
              <w:jc w:val="center"/>
              <w:rPr>
                <w:sz w:val="21"/>
                <w:szCs w:val="21"/>
                <w:lang w:val="en-US"/>
              </w:rPr>
            </w:pPr>
            <w:r>
              <w:rPr>
                <w:rFonts w:hint="eastAsia"/>
                <w:sz w:val="21"/>
                <w:szCs w:val="21"/>
                <w:lang w:val="en-US"/>
              </w:rPr>
              <w:t>2</w:t>
            </w:r>
          </w:p>
        </w:tc>
        <w:tc>
          <w:tcPr>
            <w:tcW w:w="3103" w:type="dxa"/>
            <w:vMerge w:val="continue"/>
            <w:vAlign w:val="center"/>
          </w:tcPr>
          <w:p>
            <w:pPr>
              <w:pStyle w:val="5"/>
              <w:ind w:firstLine="0" w:firstLineChars="0"/>
              <w:jc w:val="both"/>
              <w:rPr>
                <w:sz w:val="21"/>
                <w:szCs w:val="21"/>
                <w:lang w:val="en-US"/>
              </w:rPr>
            </w:pPr>
          </w:p>
        </w:tc>
        <w:tc>
          <w:tcPr>
            <w:tcW w:w="2446" w:type="dxa"/>
            <w:vMerge w:val="continue"/>
            <w:vAlign w:val="center"/>
          </w:tcPr>
          <w:p>
            <w:pPr>
              <w:pStyle w:val="5"/>
              <w:jc w:val="both"/>
              <w:rPr>
                <w:sz w:val="21"/>
                <w:szCs w:val="21"/>
                <w:lang w:val="en-US"/>
              </w:rPr>
            </w:pPr>
          </w:p>
        </w:tc>
      </w:tr>
      <w:tr>
        <w:trPr>
          <w:trHeight w:val="454" w:hRule="atLeast"/>
          <w:jc w:val="center"/>
        </w:trPr>
        <w:tc>
          <w:tcPr>
            <w:tcW w:w="2320" w:type="dxa"/>
            <w:vAlign w:val="center"/>
          </w:tcPr>
          <w:p>
            <w:pPr>
              <w:widowControl/>
              <w:jc w:val="center"/>
              <w:rPr>
                <w:rFonts w:hint="default" w:ascii="Times New Roman" w:hAnsi="Times New Roman" w:cs="宋体"/>
                <w:kern w:val="0"/>
                <w:szCs w:val="21"/>
                <w:lang w:val="en-US" w:bidi="zh-CN"/>
              </w:rPr>
            </w:pPr>
            <w:r>
              <w:rPr>
                <w:rFonts w:hint="eastAsia" w:ascii="Times New Roman" w:hAnsi="Times New Roman" w:cs="宋体"/>
                <w:kern w:val="0"/>
                <w:szCs w:val="21"/>
                <w:lang w:val="en-US" w:bidi="zh-CN"/>
              </w:rPr>
              <w:t>全网运维</w:t>
            </w:r>
          </w:p>
        </w:tc>
        <w:tc>
          <w:tcPr>
            <w:tcW w:w="882" w:type="dxa"/>
            <w:vAlign w:val="center"/>
          </w:tcPr>
          <w:p>
            <w:pPr>
              <w:pStyle w:val="5"/>
              <w:ind w:firstLine="0" w:firstLineChars="0"/>
              <w:jc w:val="center"/>
              <w:rPr>
                <w:sz w:val="21"/>
                <w:szCs w:val="21"/>
                <w:lang w:val="en-US"/>
              </w:rPr>
            </w:pPr>
            <w:r>
              <w:rPr>
                <w:rFonts w:hint="eastAsia"/>
                <w:sz w:val="21"/>
                <w:szCs w:val="21"/>
                <w:lang w:val="en-US"/>
              </w:rPr>
              <w:t>1</w:t>
            </w:r>
          </w:p>
        </w:tc>
        <w:tc>
          <w:tcPr>
            <w:tcW w:w="3103" w:type="dxa"/>
            <w:vMerge w:val="continue"/>
            <w:vAlign w:val="center"/>
          </w:tcPr>
          <w:p>
            <w:pPr>
              <w:pStyle w:val="5"/>
              <w:ind w:firstLine="0" w:firstLineChars="0"/>
              <w:jc w:val="both"/>
              <w:rPr>
                <w:sz w:val="21"/>
                <w:szCs w:val="21"/>
                <w:lang w:val="en-US"/>
              </w:rPr>
            </w:pPr>
          </w:p>
        </w:tc>
        <w:tc>
          <w:tcPr>
            <w:tcW w:w="2446" w:type="dxa"/>
            <w:vMerge w:val="continue"/>
            <w:vAlign w:val="center"/>
          </w:tcPr>
          <w:p>
            <w:pPr>
              <w:pStyle w:val="5"/>
              <w:jc w:val="both"/>
              <w:rPr>
                <w:sz w:val="21"/>
                <w:szCs w:val="21"/>
                <w:lang w:val="en-US"/>
              </w:rPr>
            </w:pPr>
          </w:p>
        </w:tc>
      </w:tr>
      <w:tr>
        <w:trPr>
          <w:trHeight w:val="454" w:hRule="atLeast"/>
          <w:jc w:val="center"/>
        </w:trPr>
        <w:tc>
          <w:tcPr>
            <w:tcW w:w="2320" w:type="dxa"/>
            <w:vAlign w:val="center"/>
          </w:tcPr>
          <w:p>
            <w:pPr>
              <w:widowControl/>
              <w:jc w:val="center"/>
              <w:rPr>
                <w:rFonts w:hint="eastAsia" w:ascii="Times New Roman" w:hAnsi="Times New Roman" w:cs="宋体"/>
                <w:kern w:val="0"/>
                <w:szCs w:val="21"/>
                <w:lang w:val="en-US" w:bidi="zh-CN"/>
              </w:rPr>
            </w:pPr>
            <w:r>
              <w:t>站点勘察设计</w:t>
            </w:r>
          </w:p>
        </w:tc>
        <w:tc>
          <w:tcPr>
            <w:tcW w:w="882" w:type="dxa"/>
            <w:vAlign w:val="center"/>
          </w:tcPr>
          <w:p>
            <w:pPr>
              <w:pStyle w:val="5"/>
              <w:ind w:firstLine="0" w:firstLineChars="0"/>
              <w:jc w:val="center"/>
              <w:rPr>
                <w:rFonts w:hint="eastAsia" w:eastAsia="宋体"/>
                <w:sz w:val="21"/>
                <w:szCs w:val="21"/>
                <w:lang w:val="en-US" w:eastAsia="zh-CN"/>
              </w:rPr>
            </w:pPr>
            <w:r>
              <w:rPr>
                <w:rFonts w:hint="eastAsia"/>
                <w:sz w:val="21"/>
                <w:szCs w:val="21"/>
                <w:lang w:val="en-US" w:eastAsia="zh-CN"/>
              </w:rPr>
              <w:t>5</w:t>
            </w:r>
          </w:p>
        </w:tc>
        <w:tc>
          <w:tcPr>
            <w:tcW w:w="3103" w:type="dxa"/>
            <w:vMerge w:val="continue"/>
            <w:vAlign w:val="center"/>
          </w:tcPr>
          <w:p>
            <w:pPr>
              <w:pStyle w:val="5"/>
              <w:ind w:firstLine="0" w:firstLineChars="0"/>
              <w:jc w:val="both"/>
              <w:rPr>
                <w:sz w:val="21"/>
                <w:szCs w:val="21"/>
                <w:lang w:val="en-US"/>
              </w:rPr>
            </w:pPr>
          </w:p>
        </w:tc>
        <w:tc>
          <w:tcPr>
            <w:tcW w:w="2446" w:type="dxa"/>
            <w:vMerge w:val="continue"/>
            <w:vAlign w:val="center"/>
          </w:tcPr>
          <w:p>
            <w:pPr>
              <w:pStyle w:val="5"/>
              <w:jc w:val="both"/>
              <w:rPr>
                <w:sz w:val="21"/>
                <w:szCs w:val="21"/>
                <w:lang w:val="en-US"/>
              </w:rPr>
            </w:pPr>
          </w:p>
        </w:tc>
      </w:tr>
      <w:tr>
        <w:trPr>
          <w:trHeight w:val="454" w:hRule="atLeast"/>
          <w:jc w:val="center"/>
        </w:trPr>
        <w:tc>
          <w:tcPr>
            <w:tcW w:w="2320" w:type="dxa"/>
            <w:vAlign w:val="center"/>
          </w:tcPr>
          <w:p>
            <w:pPr>
              <w:pStyle w:val="5"/>
              <w:ind w:firstLine="0" w:firstLineChars="0"/>
              <w:jc w:val="center"/>
              <w:rPr>
                <w:sz w:val="21"/>
                <w:szCs w:val="21"/>
                <w:lang w:val="en-US"/>
              </w:rPr>
            </w:pPr>
            <w:r>
              <w:rPr>
                <w:rFonts w:hint="eastAsia"/>
                <w:sz w:val="21"/>
                <w:szCs w:val="21"/>
                <w:lang w:val="en-US"/>
              </w:rPr>
              <w:t>无线网络规划与优化</w:t>
            </w:r>
          </w:p>
        </w:tc>
        <w:tc>
          <w:tcPr>
            <w:tcW w:w="882" w:type="dxa"/>
            <w:vAlign w:val="center"/>
          </w:tcPr>
          <w:p>
            <w:pPr>
              <w:pStyle w:val="5"/>
              <w:ind w:firstLine="0" w:firstLineChars="0"/>
              <w:jc w:val="center"/>
              <w:rPr>
                <w:rFonts w:hint="eastAsia" w:eastAsia="宋体"/>
                <w:sz w:val="21"/>
                <w:szCs w:val="21"/>
                <w:lang w:val="en-US" w:eastAsia="zh-CN"/>
              </w:rPr>
            </w:pPr>
            <w:r>
              <w:rPr>
                <w:rFonts w:hint="eastAsia"/>
                <w:sz w:val="21"/>
                <w:szCs w:val="21"/>
                <w:lang w:val="en-US" w:eastAsia="zh-CN"/>
              </w:rPr>
              <w:t>4</w:t>
            </w:r>
          </w:p>
        </w:tc>
        <w:tc>
          <w:tcPr>
            <w:tcW w:w="3103" w:type="dxa"/>
            <w:vMerge w:val="continue"/>
            <w:vAlign w:val="center"/>
          </w:tcPr>
          <w:p>
            <w:pPr>
              <w:pStyle w:val="5"/>
              <w:ind w:firstLine="0" w:firstLineChars="0"/>
              <w:jc w:val="both"/>
              <w:rPr>
                <w:sz w:val="21"/>
                <w:szCs w:val="21"/>
                <w:lang w:val="en-US"/>
              </w:rPr>
            </w:pPr>
          </w:p>
        </w:tc>
        <w:tc>
          <w:tcPr>
            <w:tcW w:w="2446" w:type="dxa"/>
            <w:vMerge w:val="continue"/>
            <w:vAlign w:val="center"/>
          </w:tcPr>
          <w:p>
            <w:pPr>
              <w:pStyle w:val="5"/>
              <w:ind w:firstLine="0" w:firstLineChars="0"/>
              <w:jc w:val="both"/>
              <w:rPr>
                <w:sz w:val="21"/>
                <w:szCs w:val="21"/>
                <w:lang w:val="en-US"/>
              </w:rPr>
            </w:pPr>
          </w:p>
        </w:tc>
      </w:tr>
      <w:tr>
        <w:trPr>
          <w:trHeight w:val="454" w:hRule="atLeast"/>
          <w:jc w:val="center"/>
        </w:trPr>
        <w:tc>
          <w:tcPr>
            <w:tcW w:w="2320" w:type="dxa"/>
            <w:vAlign w:val="center"/>
          </w:tcPr>
          <w:p>
            <w:pPr>
              <w:pStyle w:val="5"/>
              <w:ind w:firstLine="0" w:firstLineChars="0"/>
              <w:jc w:val="center"/>
              <w:rPr>
                <w:sz w:val="21"/>
                <w:szCs w:val="21"/>
                <w:lang w:val="en-US"/>
              </w:rPr>
            </w:pPr>
            <w:r>
              <w:rPr>
                <w:rFonts w:hint="eastAsia"/>
                <w:sz w:val="21"/>
                <w:szCs w:val="21"/>
                <w:lang w:val="en-US"/>
              </w:rPr>
              <w:t>信息技术</w:t>
            </w:r>
          </w:p>
        </w:tc>
        <w:tc>
          <w:tcPr>
            <w:tcW w:w="882" w:type="dxa"/>
            <w:vAlign w:val="center"/>
          </w:tcPr>
          <w:p>
            <w:pPr>
              <w:pStyle w:val="5"/>
              <w:ind w:firstLine="0" w:firstLineChars="0"/>
              <w:jc w:val="center"/>
              <w:rPr>
                <w:sz w:val="21"/>
                <w:szCs w:val="21"/>
                <w:lang w:val="en-US"/>
              </w:rPr>
            </w:pPr>
            <w:r>
              <w:rPr>
                <w:rFonts w:hint="eastAsia"/>
                <w:sz w:val="21"/>
                <w:szCs w:val="21"/>
                <w:lang w:val="en-US"/>
              </w:rPr>
              <w:t>4</w:t>
            </w:r>
          </w:p>
        </w:tc>
        <w:tc>
          <w:tcPr>
            <w:tcW w:w="3103" w:type="dxa"/>
            <w:vAlign w:val="center"/>
          </w:tcPr>
          <w:p>
            <w:pPr>
              <w:pStyle w:val="5"/>
              <w:ind w:firstLine="0" w:firstLineChars="0"/>
              <w:jc w:val="both"/>
              <w:rPr>
                <w:sz w:val="21"/>
                <w:szCs w:val="21"/>
                <w:lang w:val="en-US"/>
              </w:rPr>
            </w:pPr>
            <w:r>
              <w:rPr>
                <w:rFonts w:hint="eastAsia"/>
                <w:sz w:val="21"/>
                <w:szCs w:val="21"/>
                <w:lang w:val="en-US"/>
              </w:rPr>
              <w:t>“金山杯”云南省大学生计算机设计大赛</w:t>
            </w:r>
          </w:p>
        </w:tc>
        <w:tc>
          <w:tcPr>
            <w:tcW w:w="2446" w:type="dxa"/>
            <w:vAlign w:val="center"/>
          </w:tcPr>
          <w:p>
            <w:pPr>
              <w:pStyle w:val="5"/>
              <w:ind w:firstLine="0" w:firstLineChars="0"/>
              <w:jc w:val="both"/>
              <w:rPr>
                <w:sz w:val="21"/>
                <w:szCs w:val="21"/>
                <w:lang w:val="en-US"/>
              </w:rPr>
            </w:pPr>
            <w:r>
              <w:rPr>
                <w:rFonts w:hint="eastAsia"/>
                <w:sz w:val="21"/>
                <w:szCs w:val="21"/>
                <w:lang w:val="en-US"/>
              </w:rPr>
              <w:t>全国计算机等级一级</w:t>
            </w:r>
          </w:p>
        </w:tc>
      </w:tr>
      <w:tr>
        <w:trPr>
          <w:trHeight w:val="454" w:hRule="atLeast"/>
          <w:jc w:val="center"/>
        </w:trPr>
        <w:tc>
          <w:tcPr>
            <w:tcW w:w="2320" w:type="dxa"/>
            <w:vAlign w:val="center"/>
          </w:tcPr>
          <w:p>
            <w:pPr>
              <w:pStyle w:val="5"/>
              <w:ind w:firstLine="0" w:firstLineChars="0"/>
              <w:jc w:val="center"/>
              <w:rPr>
                <w:sz w:val="21"/>
                <w:szCs w:val="21"/>
                <w:lang w:val="en-US"/>
              </w:rPr>
            </w:pPr>
            <w:r>
              <w:rPr>
                <w:rFonts w:hint="eastAsia"/>
                <w:sz w:val="21"/>
                <w:szCs w:val="21"/>
                <w:lang w:val="en-US"/>
              </w:rPr>
              <w:t>计算机网络技术</w:t>
            </w:r>
          </w:p>
        </w:tc>
        <w:tc>
          <w:tcPr>
            <w:tcW w:w="882" w:type="dxa"/>
            <w:vAlign w:val="center"/>
          </w:tcPr>
          <w:p>
            <w:pPr>
              <w:pStyle w:val="5"/>
              <w:ind w:firstLine="0" w:firstLineChars="0"/>
              <w:jc w:val="center"/>
              <w:rPr>
                <w:sz w:val="21"/>
                <w:szCs w:val="21"/>
                <w:lang w:val="en-US"/>
              </w:rPr>
            </w:pPr>
            <w:r>
              <w:rPr>
                <w:rFonts w:hint="eastAsia"/>
                <w:sz w:val="21"/>
                <w:szCs w:val="21"/>
                <w:lang w:val="en-US"/>
              </w:rPr>
              <w:t>4</w:t>
            </w:r>
          </w:p>
        </w:tc>
        <w:tc>
          <w:tcPr>
            <w:tcW w:w="3103" w:type="dxa"/>
            <w:vAlign w:val="center"/>
          </w:tcPr>
          <w:p>
            <w:pPr>
              <w:pStyle w:val="5"/>
              <w:ind w:firstLine="0" w:firstLineChars="0"/>
              <w:jc w:val="both"/>
              <w:rPr>
                <w:sz w:val="21"/>
                <w:szCs w:val="21"/>
                <w:lang w:val="en-US"/>
              </w:rPr>
            </w:pPr>
            <w:r>
              <w:rPr>
                <w:rFonts w:hint="eastAsia"/>
                <w:sz w:val="21"/>
                <w:szCs w:val="21"/>
                <w:lang w:val="en-US"/>
              </w:rPr>
              <w:t>全国职业院校技能大赛（网络系统管理）</w:t>
            </w:r>
          </w:p>
        </w:tc>
        <w:tc>
          <w:tcPr>
            <w:tcW w:w="2446" w:type="dxa"/>
            <w:vAlign w:val="center"/>
          </w:tcPr>
          <w:p>
            <w:pPr>
              <w:pStyle w:val="5"/>
              <w:ind w:firstLine="0" w:firstLineChars="0"/>
              <w:jc w:val="both"/>
              <w:rPr>
                <w:sz w:val="21"/>
                <w:szCs w:val="21"/>
                <w:lang w:val="en-US"/>
              </w:rPr>
            </w:pPr>
            <w:r>
              <w:rPr>
                <w:rFonts w:hint="eastAsia"/>
                <w:sz w:val="21"/>
                <w:szCs w:val="21"/>
                <w:lang w:val="en-US"/>
              </w:rPr>
              <w:t>全国软件水平考试（网络管理员）</w:t>
            </w:r>
          </w:p>
        </w:tc>
      </w:tr>
    </w:tbl>
    <w:p>
      <w:pPr>
        <w:adjustRightInd w:val="0"/>
        <w:snapToGrid w:val="0"/>
        <w:spacing w:before="312" w:beforeLines="100"/>
        <w:ind w:firstLine="480" w:firstLineChars="200"/>
        <w:rPr>
          <w:rFonts w:ascii="宋体" w:hAnsi="宋体" w:cs="Angsana New"/>
          <w:b/>
          <w:bCs/>
          <w:sz w:val="24"/>
          <w:szCs w:val="24"/>
          <w:lang w:bidi="th-TH"/>
        </w:rPr>
      </w:pPr>
      <w:r>
        <w:rPr>
          <w:rFonts w:hint="eastAsia" w:ascii="宋体" w:hAnsi="宋体" w:cs="Angsana New"/>
          <w:b/>
          <w:bCs/>
          <w:sz w:val="24"/>
          <w:szCs w:val="24"/>
          <w:lang w:bidi="th-TH"/>
        </w:rPr>
        <w:t>（</w:t>
      </w:r>
      <w:r>
        <w:rPr>
          <w:rFonts w:hint="eastAsia" w:ascii="宋体" w:hAnsi="宋体" w:cs="Angsana New"/>
          <w:b/>
          <w:bCs/>
          <w:sz w:val="24"/>
          <w:szCs w:val="24"/>
          <w:lang w:val="en-US" w:eastAsia="zh-CN" w:bidi="th-TH"/>
        </w:rPr>
        <w:t>五</w:t>
      </w:r>
      <w:r>
        <w:rPr>
          <w:rFonts w:hint="eastAsia" w:ascii="宋体" w:hAnsi="宋体" w:cs="Angsana New"/>
          <w:b/>
          <w:bCs/>
          <w:sz w:val="24"/>
          <w:szCs w:val="24"/>
          <w:lang w:bidi="th-TH"/>
        </w:rPr>
        <w:t>）校企合作承担课程</w:t>
      </w:r>
    </w:p>
    <w:p>
      <w:pPr>
        <w:adjustRightInd w:val="0"/>
        <w:snapToGrid w:val="0"/>
        <w:spacing w:line="360" w:lineRule="auto"/>
        <w:jc w:val="center"/>
        <w:rPr>
          <w:rFonts w:ascii="宋体" w:hAnsi="宋体" w:cs="Angsana New"/>
          <w:b/>
          <w:sz w:val="24"/>
          <w:szCs w:val="24"/>
          <w:lang w:bidi="th-TH"/>
        </w:rPr>
      </w:pPr>
      <w:r>
        <w:rPr>
          <w:rFonts w:hint="eastAsia" w:ascii="宋体" w:hAnsi="宋体" w:cs="Angsana New"/>
          <w:b/>
          <w:sz w:val="24"/>
          <w:szCs w:val="24"/>
          <w:lang w:bidi="th-TH"/>
        </w:rPr>
        <w:t>表7  校企合作承担课程</w:t>
      </w:r>
    </w:p>
    <w:tbl>
      <w:tblPr>
        <w:tblStyle w:val="13"/>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4"/>
        <w:gridCol w:w="851"/>
        <w:gridCol w:w="2835"/>
        <w:gridCol w:w="1134"/>
        <w:gridCol w:w="1184"/>
      </w:tblGrid>
      <w:tr>
        <w:trPr>
          <w:trHeight w:val="567" w:hRule="atLeast"/>
        </w:trPr>
        <w:tc>
          <w:tcPr>
            <w:tcW w:w="2694" w:type="dxa"/>
            <w:vAlign w:val="center"/>
          </w:tcPr>
          <w:p>
            <w:pPr>
              <w:pStyle w:val="7"/>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课程名称</w:t>
            </w:r>
          </w:p>
        </w:tc>
        <w:tc>
          <w:tcPr>
            <w:tcW w:w="851" w:type="dxa"/>
            <w:vAlign w:val="center"/>
          </w:tcPr>
          <w:p>
            <w:pPr>
              <w:pStyle w:val="7"/>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学分</w:t>
            </w:r>
          </w:p>
        </w:tc>
        <w:tc>
          <w:tcPr>
            <w:tcW w:w="2835" w:type="dxa"/>
            <w:vAlign w:val="center"/>
          </w:tcPr>
          <w:p>
            <w:pPr>
              <w:pStyle w:val="7"/>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企业名称</w:t>
            </w:r>
          </w:p>
        </w:tc>
        <w:tc>
          <w:tcPr>
            <w:tcW w:w="1134" w:type="dxa"/>
            <w:vAlign w:val="center"/>
          </w:tcPr>
          <w:p>
            <w:pPr>
              <w:pStyle w:val="7"/>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授课方式</w:t>
            </w:r>
          </w:p>
        </w:tc>
        <w:tc>
          <w:tcPr>
            <w:tcW w:w="1184" w:type="dxa"/>
            <w:vAlign w:val="center"/>
          </w:tcPr>
          <w:p>
            <w:pPr>
              <w:pStyle w:val="7"/>
              <w:adjustRightInd w:val="0"/>
              <w:snapToGrid w:val="0"/>
              <w:jc w:val="center"/>
              <w:rPr>
                <w:rFonts w:cs="仿宋" w:asciiTheme="minorEastAsia" w:hAnsiTheme="minorEastAsia" w:eastAsiaTheme="minorEastAsia"/>
                <w:b/>
                <w:spacing w:val="-2"/>
                <w:lang w:val="en-US"/>
              </w:rPr>
            </w:pPr>
            <w:r>
              <w:rPr>
                <w:rFonts w:hint="eastAsia" w:cs="仿宋" w:asciiTheme="minorEastAsia" w:hAnsiTheme="minorEastAsia" w:eastAsiaTheme="minorEastAsia"/>
                <w:b/>
                <w:spacing w:val="-2"/>
                <w:lang w:val="en-US"/>
              </w:rPr>
              <w:t>承担课程学时比例</w:t>
            </w:r>
          </w:p>
        </w:tc>
      </w:tr>
      <w:tr>
        <w:trPr>
          <w:trHeight w:val="454" w:hRule="atLeast"/>
        </w:trPr>
        <w:tc>
          <w:tcPr>
            <w:tcW w:w="2694"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rPr>
              <w:t>电信业务应用与营销</w:t>
            </w:r>
          </w:p>
        </w:tc>
        <w:tc>
          <w:tcPr>
            <w:tcW w:w="851"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color w:val="000000"/>
                <w:sz w:val="18"/>
                <w:szCs w:val="18"/>
              </w:rPr>
              <w:t>4</w:t>
            </w:r>
          </w:p>
        </w:tc>
        <w:tc>
          <w:tcPr>
            <w:tcW w:w="2835"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rPr>
              <w:t>云南吉程教育科技有限公司</w:t>
            </w:r>
          </w:p>
        </w:tc>
        <w:tc>
          <w:tcPr>
            <w:tcW w:w="1134" w:type="dxa"/>
            <w:vAlign w:val="center"/>
          </w:tcPr>
          <w:p>
            <w:pPr>
              <w:pStyle w:val="7"/>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实习</w:t>
            </w:r>
          </w:p>
        </w:tc>
        <w:tc>
          <w:tcPr>
            <w:tcW w:w="1184"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w:t>
            </w:r>
            <w:r>
              <w:rPr>
                <w:rFonts w:cs="仿宋" w:asciiTheme="minorEastAsia" w:hAnsiTheme="minorEastAsia" w:eastAsiaTheme="minorEastAsia"/>
                <w:spacing w:val="-2"/>
                <w:lang w:val="en-US"/>
              </w:rPr>
              <w:t>00%</w:t>
            </w:r>
          </w:p>
        </w:tc>
      </w:tr>
      <w:tr>
        <w:trPr>
          <w:trHeight w:val="454" w:hRule="atLeast"/>
        </w:trPr>
        <w:tc>
          <w:tcPr>
            <w:tcW w:w="2694" w:type="dxa"/>
            <w:vAlign w:val="center"/>
          </w:tcPr>
          <w:p>
            <w:pPr>
              <w:pStyle w:val="7"/>
              <w:adjustRightInd w:val="0"/>
              <w:snapToGrid w:val="0"/>
              <w:jc w:val="center"/>
            </w:pPr>
            <w:r>
              <w:rPr>
                <w:rFonts w:hint="eastAsia" w:ascii="宋体" w:hAnsi="宋体" w:cs="宋体"/>
                <w:color w:val="000000"/>
                <w:kern w:val="0"/>
                <w:szCs w:val="21"/>
                <w:lang w:val="en-US" w:eastAsia="zh-CN"/>
              </w:rPr>
              <w:t>移动通信网建设与维护</w:t>
            </w:r>
          </w:p>
        </w:tc>
        <w:tc>
          <w:tcPr>
            <w:tcW w:w="851" w:type="dxa"/>
            <w:vAlign w:val="center"/>
          </w:tcPr>
          <w:p>
            <w:pPr>
              <w:pStyle w:val="7"/>
              <w:adjustRightInd w:val="0"/>
              <w:snapToGrid w:val="0"/>
              <w:jc w:val="center"/>
              <w:rPr>
                <w:rFonts w:hint="eastAsia" w:cs="仿宋" w:asciiTheme="minorEastAsia" w:hAnsiTheme="minorEastAsia" w:eastAsiaTheme="minorEastAsia"/>
                <w:spacing w:val="-2"/>
                <w:lang w:val="en-US" w:eastAsia="zh-CN"/>
              </w:rPr>
            </w:pPr>
            <w:r>
              <w:rPr>
                <w:rFonts w:hint="eastAsia" w:cs="仿宋" w:asciiTheme="minorEastAsia" w:hAnsiTheme="minorEastAsia" w:eastAsiaTheme="minorEastAsia"/>
                <w:spacing w:val="-2"/>
                <w:lang w:val="en-US" w:eastAsia="zh-CN"/>
              </w:rPr>
              <w:t>4</w:t>
            </w:r>
          </w:p>
        </w:tc>
        <w:tc>
          <w:tcPr>
            <w:tcW w:w="2835"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rPr>
              <w:t>云南吉程教育科技有限公司</w:t>
            </w:r>
          </w:p>
        </w:tc>
        <w:tc>
          <w:tcPr>
            <w:tcW w:w="1134" w:type="dxa"/>
            <w:vAlign w:val="center"/>
          </w:tcPr>
          <w:p>
            <w:pPr>
              <w:pStyle w:val="7"/>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讲授</w:t>
            </w:r>
          </w:p>
        </w:tc>
        <w:tc>
          <w:tcPr>
            <w:tcW w:w="1184"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w:t>
            </w:r>
            <w:r>
              <w:rPr>
                <w:rFonts w:cs="仿宋" w:asciiTheme="minorEastAsia" w:hAnsiTheme="minorEastAsia" w:eastAsiaTheme="minorEastAsia"/>
                <w:spacing w:val="-2"/>
                <w:lang w:val="en-US"/>
              </w:rPr>
              <w:t>00%</w:t>
            </w:r>
          </w:p>
        </w:tc>
      </w:tr>
      <w:tr>
        <w:trPr>
          <w:trHeight w:val="454" w:hRule="atLeast"/>
        </w:trPr>
        <w:tc>
          <w:tcPr>
            <w:tcW w:w="2694" w:type="dxa"/>
            <w:vAlign w:val="center"/>
          </w:tcPr>
          <w:p>
            <w:pPr>
              <w:pStyle w:val="7"/>
              <w:adjustRightInd w:val="0"/>
              <w:snapToGrid w:val="0"/>
              <w:jc w:val="center"/>
            </w:pPr>
            <w:r>
              <w:rPr>
                <w:rFonts w:hint="eastAsia" w:ascii="宋体" w:hAnsi="宋体" w:cs="宋体"/>
                <w:color w:val="000000"/>
                <w:kern w:val="0"/>
                <w:szCs w:val="21"/>
              </w:rPr>
              <w:t>通信工程制图</w:t>
            </w:r>
          </w:p>
        </w:tc>
        <w:tc>
          <w:tcPr>
            <w:tcW w:w="851"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color w:val="000000"/>
                <w:sz w:val="18"/>
                <w:szCs w:val="18"/>
              </w:rPr>
              <w:t>2</w:t>
            </w:r>
          </w:p>
        </w:tc>
        <w:tc>
          <w:tcPr>
            <w:tcW w:w="2835"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rPr>
              <w:t>云南吉程教育科技有限公司</w:t>
            </w:r>
          </w:p>
        </w:tc>
        <w:tc>
          <w:tcPr>
            <w:tcW w:w="1134" w:type="dxa"/>
            <w:vAlign w:val="center"/>
          </w:tcPr>
          <w:p>
            <w:pPr>
              <w:pStyle w:val="7"/>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讲授</w:t>
            </w:r>
          </w:p>
        </w:tc>
        <w:tc>
          <w:tcPr>
            <w:tcW w:w="1184"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w:t>
            </w:r>
            <w:r>
              <w:rPr>
                <w:rFonts w:cs="仿宋" w:asciiTheme="minorEastAsia" w:hAnsiTheme="minorEastAsia" w:eastAsiaTheme="minorEastAsia"/>
                <w:spacing w:val="-2"/>
                <w:lang w:val="en-US"/>
              </w:rPr>
              <w:t>00%</w:t>
            </w:r>
          </w:p>
        </w:tc>
      </w:tr>
      <w:tr>
        <w:trPr>
          <w:trHeight w:val="454" w:hRule="atLeast"/>
        </w:trPr>
        <w:tc>
          <w:tcPr>
            <w:tcW w:w="2694" w:type="dxa"/>
            <w:vAlign w:val="center"/>
          </w:tcPr>
          <w:p>
            <w:pPr>
              <w:pStyle w:val="7"/>
              <w:adjustRightInd w:val="0"/>
              <w:snapToGrid w:val="0"/>
              <w:jc w:val="center"/>
            </w:pPr>
            <w:r>
              <w:rPr>
                <w:rFonts w:hint="eastAsia" w:ascii="宋体" w:hAnsi="宋体" w:cs="宋体"/>
                <w:color w:val="000000"/>
                <w:kern w:val="0"/>
                <w:szCs w:val="21"/>
                <w:lang w:val="en-US" w:eastAsia="zh-CN"/>
              </w:rPr>
              <w:t>移动通信与人工智能</w:t>
            </w:r>
          </w:p>
        </w:tc>
        <w:tc>
          <w:tcPr>
            <w:tcW w:w="851"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color w:val="000000"/>
                <w:sz w:val="18"/>
                <w:szCs w:val="18"/>
              </w:rPr>
              <w:t>4</w:t>
            </w:r>
          </w:p>
        </w:tc>
        <w:tc>
          <w:tcPr>
            <w:tcW w:w="2835"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rPr>
              <w:t>云南吉程教育科技有限公司</w:t>
            </w:r>
          </w:p>
        </w:tc>
        <w:tc>
          <w:tcPr>
            <w:tcW w:w="1134" w:type="dxa"/>
            <w:vAlign w:val="center"/>
          </w:tcPr>
          <w:p>
            <w:pPr>
              <w:pStyle w:val="7"/>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讲授</w:t>
            </w:r>
          </w:p>
        </w:tc>
        <w:tc>
          <w:tcPr>
            <w:tcW w:w="1184"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w:t>
            </w:r>
            <w:r>
              <w:rPr>
                <w:rFonts w:cs="仿宋" w:asciiTheme="minorEastAsia" w:hAnsiTheme="minorEastAsia" w:eastAsiaTheme="minorEastAsia"/>
                <w:spacing w:val="-2"/>
                <w:lang w:val="en-US"/>
              </w:rPr>
              <w:t>00%</w:t>
            </w:r>
          </w:p>
        </w:tc>
      </w:tr>
      <w:tr>
        <w:trPr>
          <w:trHeight w:val="454" w:hRule="atLeast"/>
        </w:trPr>
        <w:tc>
          <w:tcPr>
            <w:tcW w:w="2694" w:type="dxa"/>
            <w:vAlign w:val="center"/>
          </w:tcPr>
          <w:p>
            <w:pPr>
              <w:pStyle w:val="7"/>
              <w:adjustRightInd w:val="0"/>
              <w:snapToGrid w:val="0"/>
              <w:jc w:val="center"/>
            </w:pPr>
            <w:r>
              <w:rPr>
                <w:rFonts w:hint="eastAsia" w:ascii="宋体" w:hAnsi="宋体" w:cs="宋体"/>
                <w:color w:val="000000"/>
                <w:kern w:val="0"/>
                <w:szCs w:val="21"/>
                <w:lang w:val="en-US" w:eastAsia="zh-CN"/>
              </w:rPr>
              <w:t>站点勘察与设计</w:t>
            </w:r>
            <w:r>
              <w:rPr>
                <w:rFonts w:hint="eastAsia" w:cs="宋体"/>
                <w:color w:val="000000"/>
                <w:kern w:val="0"/>
                <w:szCs w:val="21"/>
                <w:lang w:val="en-US" w:eastAsia="zh-CN"/>
              </w:rPr>
              <w:t>（含理论与实训）</w:t>
            </w:r>
          </w:p>
        </w:tc>
        <w:tc>
          <w:tcPr>
            <w:tcW w:w="851" w:type="dxa"/>
            <w:vAlign w:val="center"/>
          </w:tcPr>
          <w:p>
            <w:pPr>
              <w:pStyle w:val="7"/>
              <w:adjustRightInd w:val="0"/>
              <w:snapToGrid w:val="0"/>
              <w:jc w:val="center"/>
              <w:rPr>
                <w:rFonts w:hint="eastAsia" w:cs="仿宋" w:asciiTheme="minorEastAsia" w:hAnsiTheme="minorEastAsia" w:eastAsiaTheme="minorEastAsia"/>
                <w:spacing w:val="-2"/>
                <w:lang w:val="en-US" w:eastAsia="zh-CN"/>
              </w:rPr>
            </w:pPr>
            <w:r>
              <w:rPr>
                <w:rFonts w:hint="eastAsia" w:cs="仿宋" w:asciiTheme="minorEastAsia" w:hAnsiTheme="minorEastAsia" w:eastAsiaTheme="minorEastAsia"/>
                <w:spacing w:val="-2"/>
                <w:lang w:val="en-US" w:eastAsia="zh-CN"/>
              </w:rPr>
              <w:t>5</w:t>
            </w:r>
          </w:p>
        </w:tc>
        <w:tc>
          <w:tcPr>
            <w:tcW w:w="2835"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rPr>
              <w:t>云南吉程教育科技有限公司</w:t>
            </w:r>
          </w:p>
        </w:tc>
        <w:tc>
          <w:tcPr>
            <w:tcW w:w="1134" w:type="dxa"/>
            <w:vAlign w:val="center"/>
          </w:tcPr>
          <w:p>
            <w:pPr>
              <w:pStyle w:val="7"/>
              <w:adjustRightInd w:val="0"/>
              <w:snapToGrid w:val="0"/>
              <w:jc w:val="center"/>
              <w:rPr>
                <w:rFonts w:hint="default" w:cs="仿宋" w:asciiTheme="minorEastAsia" w:hAnsiTheme="minorEastAsia" w:eastAsiaTheme="minorEastAsia"/>
                <w:spacing w:val="-2"/>
                <w:lang w:val="en-US" w:eastAsia="zh-CN"/>
              </w:rPr>
            </w:pPr>
            <w:r>
              <w:rPr>
                <w:rFonts w:cs="仿宋" w:asciiTheme="minorEastAsia" w:hAnsiTheme="minorEastAsia" w:eastAsiaTheme="minorEastAsia"/>
                <w:spacing w:val="-2"/>
                <w:lang w:val="en-US"/>
              </w:rPr>
              <w:t>讲授</w:t>
            </w:r>
            <w:r>
              <w:rPr>
                <w:rFonts w:hint="eastAsia" w:cs="仿宋" w:asciiTheme="minorEastAsia" w:hAnsiTheme="minorEastAsia" w:eastAsiaTheme="minorEastAsia"/>
                <w:spacing w:val="-2"/>
                <w:lang w:val="en-US" w:eastAsia="zh-CN"/>
              </w:rPr>
              <w:t>+实训</w:t>
            </w:r>
          </w:p>
        </w:tc>
        <w:tc>
          <w:tcPr>
            <w:tcW w:w="1184"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w:t>
            </w:r>
            <w:r>
              <w:rPr>
                <w:rFonts w:cs="仿宋" w:asciiTheme="minorEastAsia" w:hAnsiTheme="minorEastAsia" w:eastAsiaTheme="minorEastAsia"/>
                <w:spacing w:val="-2"/>
                <w:lang w:val="en-US"/>
              </w:rPr>
              <w:t>00%</w:t>
            </w:r>
          </w:p>
        </w:tc>
      </w:tr>
      <w:tr>
        <w:trPr>
          <w:trHeight w:val="454" w:hRule="atLeast"/>
        </w:trPr>
        <w:tc>
          <w:tcPr>
            <w:tcW w:w="2694" w:type="dxa"/>
            <w:vAlign w:val="center"/>
          </w:tcPr>
          <w:p>
            <w:pPr>
              <w:pStyle w:val="7"/>
              <w:adjustRightInd w:val="0"/>
              <w:snapToGrid w:val="0"/>
              <w:jc w:val="center"/>
            </w:pPr>
            <w:r>
              <w:rPr>
                <w:rFonts w:hint="eastAsia"/>
              </w:rPr>
              <w:t>通信营销与客户服务</w:t>
            </w:r>
          </w:p>
        </w:tc>
        <w:tc>
          <w:tcPr>
            <w:tcW w:w="851"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color w:val="000000"/>
                <w:sz w:val="18"/>
                <w:szCs w:val="18"/>
              </w:rPr>
              <w:t>2</w:t>
            </w:r>
          </w:p>
        </w:tc>
        <w:tc>
          <w:tcPr>
            <w:tcW w:w="2835"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rPr>
              <w:t>昆明移动安宁分公司</w:t>
            </w:r>
          </w:p>
        </w:tc>
        <w:tc>
          <w:tcPr>
            <w:tcW w:w="1134" w:type="dxa"/>
            <w:vAlign w:val="center"/>
          </w:tcPr>
          <w:p>
            <w:pPr>
              <w:pStyle w:val="7"/>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实习</w:t>
            </w:r>
          </w:p>
        </w:tc>
        <w:tc>
          <w:tcPr>
            <w:tcW w:w="1184"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w:t>
            </w:r>
            <w:r>
              <w:rPr>
                <w:rFonts w:cs="仿宋" w:asciiTheme="minorEastAsia" w:hAnsiTheme="minorEastAsia" w:eastAsiaTheme="minorEastAsia"/>
                <w:spacing w:val="-2"/>
                <w:lang w:val="en-US"/>
              </w:rPr>
              <w:t>00%</w:t>
            </w:r>
          </w:p>
        </w:tc>
      </w:tr>
      <w:tr>
        <w:trPr>
          <w:trHeight w:val="454" w:hRule="atLeast"/>
        </w:trPr>
        <w:tc>
          <w:tcPr>
            <w:tcW w:w="2694"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rPr>
              <w:t>无线网络规划与优化</w:t>
            </w:r>
          </w:p>
        </w:tc>
        <w:tc>
          <w:tcPr>
            <w:tcW w:w="851"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color w:val="000000"/>
                <w:sz w:val="18"/>
                <w:szCs w:val="18"/>
              </w:rPr>
              <w:t>2</w:t>
            </w:r>
          </w:p>
        </w:tc>
        <w:tc>
          <w:tcPr>
            <w:tcW w:w="2835"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rPr>
              <w:t>昆明移动安宁分公司</w:t>
            </w:r>
          </w:p>
        </w:tc>
        <w:tc>
          <w:tcPr>
            <w:tcW w:w="1134" w:type="dxa"/>
            <w:vAlign w:val="center"/>
          </w:tcPr>
          <w:p>
            <w:pPr>
              <w:pStyle w:val="7"/>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实训</w:t>
            </w:r>
          </w:p>
        </w:tc>
        <w:tc>
          <w:tcPr>
            <w:tcW w:w="1184"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w:t>
            </w:r>
            <w:r>
              <w:rPr>
                <w:rFonts w:cs="仿宋" w:asciiTheme="minorEastAsia" w:hAnsiTheme="minorEastAsia" w:eastAsiaTheme="minorEastAsia"/>
                <w:spacing w:val="-2"/>
                <w:lang w:val="en-US"/>
              </w:rPr>
              <w:t>00%</w:t>
            </w:r>
          </w:p>
        </w:tc>
      </w:tr>
      <w:tr>
        <w:trPr>
          <w:trHeight w:val="454" w:hRule="atLeast"/>
        </w:trPr>
        <w:tc>
          <w:tcPr>
            <w:tcW w:w="2694"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rPr>
              <w:t>移动终端常见故障诊断与维修</w:t>
            </w:r>
          </w:p>
        </w:tc>
        <w:tc>
          <w:tcPr>
            <w:tcW w:w="851"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color w:val="000000"/>
                <w:sz w:val="18"/>
                <w:szCs w:val="18"/>
              </w:rPr>
              <w:t>2</w:t>
            </w:r>
          </w:p>
        </w:tc>
        <w:tc>
          <w:tcPr>
            <w:tcW w:w="2835"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rPr>
              <w:t>昆明移动安宁分公司</w:t>
            </w:r>
          </w:p>
        </w:tc>
        <w:tc>
          <w:tcPr>
            <w:tcW w:w="1134" w:type="dxa"/>
            <w:vAlign w:val="center"/>
          </w:tcPr>
          <w:p>
            <w:pPr>
              <w:pStyle w:val="7"/>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实训</w:t>
            </w:r>
          </w:p>
        </w:tc>
        <w:tc>
          <w:tcPr>
            <w:tcW w:w="1184"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w:t>
            </w:r>
            <w:r>
              <w:rPr>
                <w:rFonts w:cs="仿宋" w:asciiTheme="minorEastAsia" w:hAnsiTheme="minorEastAsia" w:eastAsiaTheme="minorEastAsia"/>
                <w:spacing w:val="-2"/>
                <w:lang w:val="en-US"/>
              </w:rPr>
              <w:t>00%</w:t>
            </w:r>
          </w:p>
        </w:tc>
      </w:tr>
      <w:tr>
        <w:trPr>
          <w:trHeight w:val="454" w:hRule="atLeast"/>
        </w:trPr>
        <w:tc>
          <w:tcPr>
            <w:tcW w:w="2694" w:type="dxa"/>
            <w:vAlign w:val="center"/>
          </w:tcPr>
          <w:p>
            <w:pPr>
              <w:pStyle w:val="7"/>
              <w:adjustRightInd w:val="0"/>
              <w:snapToGrid w:val="0"/>
              <w:jc w:val="center"/>
              <w:rPr>
                <w:rFonts w:hint="default" w:eastAsia="宋体"/>
                <w:lang w:val="en-US" w:eastAsia="zh-CN"/>
              </w:rPr>
            </w:pPr>
            <w:r>
              <w:rPr>
                <w:rFonts w:hint="eastAsia"/>
                <w:lang w:val="en-US" w:eastAsia="zh-CN"/>
              </w:rPr>
              <w:t>全网运维</w:t>
            </w:r>
          </w:p>
        </w:tc>
        <w:tc>
          <w:tcPr>
            <w:tcW w:w="851"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color w:val="000000"/>
                <w:sz w:val="18"/>
                <w:szCs w:val="18"/>
              </w:rPr>
              <w:t>1</w:t>
            </w:r>
          </w:p>
        </w:tc>
        <w:tc>
          <w:tcPr>
            <w:tcW w:w="2835"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rPr>
              <w:t>昆明移动安宁分公司</w:t>
            </w:r>
          </w:p>
        </w:tc>
        <w:tc>
          <w:tcPr>
            <w:tcW w:w="1134" w:type="dxa"/>
            <w:vAlign w:val="center"/>
          </w:tcPr>
          <w:p>
            <w:pPr>
              <w:pStyle w:val="7"/>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实训</w:t>
            </w:r>
          </w:p>
        </w:tc>
        <w:tc>
          <w:tcPr>
            <w:tcW w:w="1184"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w:t>
            </w:r>
            <w:r>
              <w:rPr>
                <w:rFonts w:cs="仿宋" w:asciiTheme="minorEastAsia" w:hAnsiTheme="minorEastAsia" w:eastAsiaTheme="minorEastAsia"/>
                <w:spacing w:val="-2"/>
                <w:lang w:val="en-US"/>
              </w:rPr>
              <w:t>00%</w:t>
            </w:r>
          </w:p>
        </w:tc>
      </w:tr>
      <w:tr>
        <w:trPr>
          <w:trHeight w:val="454" w:hRule="atLeast"/>
        </w:trPr>
        <w:tc>
          <w:tcPr>
            <w:tcW w:w="2694" w:type="dxa"/>
            <w:vAlign w:val="center"/>
          </w:tcPr>
          <w:p>
            <w:pPr>
              <w:pStyle w:val="7"/>
              <w:adjustRightInd w:val="0"/>
              <w:snapToGrid w:val="0"/>
              <w:jc w:val="center"/>
            </w:pPr>
            <w:r>
              <w:rPr>
                <w:rFonts w:hint="eastAsia"/>
              </w:rPr>
              <w:t>新媒体运营及品牌推广</w:t>
            </w:r>
          </w:p>
        </w:tc>
        <w:tc>
          <w:tcPr>
            <w:tcW w:w="851"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color w:val="000000"/>
                <w:sz w:val="18"/>
                <w:szCs w:val="18"/>
              </w:rPr>
              <w:t>2</w:t>
            </w:r>
          </w:p>
        </w:tc>
        <w:tc>
          <w:tcPr>
            <w:tcW w:w="2835"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rPr>
              <w:t>云南吉程教育科技有限公司</w:t>
            </w:r>
          </w:p>
        </w:tc>
        <w:tc>
          <w:tcPr>
            <w:tcW w:w="1134" w:type="dxa"/>
            <w:vAlign w:val="center"/>
          </w:tcPr>
          <w:p>
            <w:pPr>
              <w:pStyle w:val="7"/>
              <w:adjustRightInd w:val="0"/>
              <w:snapToGrid w:val="0"/>
              <w:jc w:val="center"/>
              <w:rPr>
                <w:rFonts w:cs="仿宋" w:asciiTheme="minorEastAsia" w:hAnsiTheme="minorEastAsia" w:eastAsiaTheme="minorEastAsia"/>
                <w:spacing w:val="-2"/>
                <w:lang w:val="en-US"/>
              </w:rPr>
            </w:pPr>
            <w:r>
              <w:rPr>
                <w:rFonts w:cs="仿宋" w:asciiTheme="minorEastAsia" w:hAnsiTheme="minorEastAsia" w:eastAsiaTheme="minorEastAsia"/>
                <w:spacing w:val="-2"/>
                <w:lang w:val="en-US"/>
              </w:rPr>
              <w:t>实习</w:t>
            </w:r>
          </w:p>
        </w:tc>
        <w:tc>
          <w:tcPr>
            <w:tcW w:w="1184" w:type="dxa"/>
            <w:vAlign w:val="center"/>
          </w:tcPr>
          <w:p>
            <w:pPr>
              <w:pStyle w:val="7"/>
              <w:adjustRightInd w:val="0"/>
              <w:snapToGrid w:val="0"/>
              <w:jc w:val="center"/>
              <w:rPr>
                <w:rFonts w:cs="仿宋" w:asciiTheme="minorEastAsia" w:hAnsiTheme="minorEastAsia" w:eastAsiaTheme="minorEastAsia"/>
                <w:spacing w:val="-2"/>
                <w:lang w:val="en-US"/>
              </w:rPr>
            </w:pPr>
            <w:r>
              <w:rPr>
                <w:rFonts w:hint="eastAsia" w:cs="仿宋" w:asciiTheme="minorEastAsia" w:hAnsiTheme="minorEastAsia" w:eastAsiaTheme="minorEastAsia"/>
                <w:spacing w:val="-2"/>
                <w:lang w:val="en-US"/>
              </w:rPr>
              <w:t>1</w:t>
            </w:r>
            <w:r>
              <w:rPr>
                <w:rFonts w:cs="仿宋" w:asciiTheme="minorEastAsia" w:hAnsiTheme="minorEastAsia" w:eastAsiaTheme="minorEastAsia"/>
                <w:spacing w:val="-2"/>
                <w:lang w:val="en-US"/>
              </w:rPr>
              <w:t>00%</w:t>
            </w:r>
          </w:p>
        </w:tc>
      </w:tr>
      <w:tr>
        <w:trPr>
          <w:trHeight w:val="454" w:hRule="atLeast"/>
        </w:trPr>
        <w:tc>
          <w:tcPr>
            <w:tcW w:w="2694" w:type="dxa"/>
            <w:vAlign w:val="center"/>
          </w:tcPr>
          <w:p>
            <w:pPr>
              <w:pStyle w:val="7"/>
              <w:adjustRightInd w:val="0"/>
              <w:snapToGrid w:val="0"/>
              <w:jc w:val="center"/>
              <w:rPr>
                <w:rFonts w:hint="default" w:eastAsia="宋体"/>
                <w:lang w:val="en-US" w:eastAsia="zh-CN"/>
              </w:rPr>
            </w:pPr>
            <w:r>
              <w:rPr>
                <w:rFonts w:hint="eastAsia"/>
                <w:lang w:val="en-US" w:eastAsia="zh-CN"/>
              </w:rPr>
              <w:t>专业综合实训</w:t>
            </w:r>
          </w:p>
        </w:tc>
        <w:tc>
          <w:tcPr>
            <w:tcW w:w="851" w:type="dxa"/>
            <w:vAlign w:val="center"/>
          </w:tcPr>
          <w:p>
            <w:pPr>
              <w:pStyle w:val="7"/>
              <w:adjustRightInd w:val="0"/>
              <w:snapToGrid w:val="0"/>
              <w:jc w:val="center"/>
              <w:rPr>
                <w:rFonts w:hint="eastAsia" w:eastAsia="宋体"/>
                <w:color w:val="000000"/>
                <w:sz w:val="18"/>
                <w:szCs w:val="18"/>
                <w:lang w:val="en-US" w:eastAsia="zh-CN"/>
              </w:rPr>
            </w:pPr>
            <w:r>
              <w:rPr>
                <w:rFonts w:hint="eastAsia"/>
                <w:color w:val="000000"/>
                <w:sz w:val="18"/>
                <w:szCs w:val="18"/>
                <w:lang w:val="en-US" w:eastAsia="zh-CN"/>
              </w:rPr>
              <w:t>1</w:t>
            </w:r>
          </w:p>
        </w:tc>
        <w:tc>
          <w:tcPr>
            <w:tcW w:w="2835" w:type="dxa"/>
            <w:shd w:val="clear" w:color="auto" w:fill="auto"/>
            <w:vAlign w:val="center"/>
          </w:tcPr>
          <w:p>
            <w:pPr>
              <w:pStyle w:val="7"/>
              <w:adjustRightInd w:val="0"/>
              <w:snapToGrid w:val="0"/>
              <w:jc w:val="center"/>
              <w:rPr>
                <w:rFonts w:hint="eastAsia" w:cs="仿宋" w:asciiTheme="minorEastAsia" w:hAnsiTheme="minorEastAsia" w:eastAsiaTheme="minorEastAsia"/>
                <w:spacing w:val="-2"/>
                <w:kern w:val="0"/>
                <w:sz w:val="21"/>
                <w:szCs w:val="21"/>
                <w:lang w:val="en-US" w:eastAsia="zh-CN" w:bidi="zh-CN"/>
              </w:rPr>
            </w:pPr>
            <w:r>
              <w:rPr>
                <w:rFonts w:hint="eastAsia"/>
              </w:rPr>
              <w:t>云南吉程教育科技有限公司</w:t>
            </w:r>
          </w:p>
        </w:tc>
        <w:tc>
          <w:tcPr>
            <w:tcW w:w="1134" w:type="dxa"/>
            <w:shd w:val="clear" w:color="auto" w:fill="auto"/>
            <w:vAlign w:val="center"/>
          </w:tcPr>
          <w:p>
            <w:pPr>
              <w:pStyle w:val="7"/>
              <w:adjustRightInd w:val="0"/>
              <w:snapToGrid w:val="0"/>
              <w:jc w:val="center"/>
              <w:rPr>
                <w:rFonts w:hint="eastAsia" w:cs="仿宋" w:asciiTheme="minorEastAsia" w:hAnsiTheme="minorEastAsia" w:eastAsiaTheme="minorEastAsia"/>
                <w:spacing w:val="-2"/>
                <w:kern w:val="0"/>
                <w:sz w:val="21"/>
                <w:szCs w:val="21"/>
                <w:lang w:val="en-US" w:eastAsia="zh-CN" w:bidi="zh-CN"/>
              </w:rPr>
            </w:pPr>
            <w:r>
              <w:rPr>
                <w:rFonts w:cs="仿宋" w:asciiTheme="minorEastAsia" w:hAnsiTheme="minorEastAsia" w:eastAsiaTheme="minorEastAsia"/>
                <w:spacing w:val="-2"/>
                <w:lang w:val="en-US"/>
              </w:rPr>
              <w:t>实</w:t>
            </w:r>
            <w:r>
              <w:rPr>
                <w:rFonts w:hint="eastAsia" w:cs="仿宋" w:asciiTheme="minorEastAsia" w:hAnsiTheme="minorEastAsia" w:eastAsiaTheme="minorEastAsia"/>
                <w:spacing w:val="-2"/>
                <w:lang w:val="en-US" w:eastAsia="zh-CN"/>
              </w:rPr>
              <w:t>训</w:t>
            </w:r>
          </w:p>
        </w:tc>
        <w:tc>
          <w:tcPr>
            <w:tcW w:w="1184" w:type="dxa"/>
            <w:shd w:val="clear" w:color="auto" w:fill="auto"/>
            <w:vAlign w:val="center"/>
          </w:tcPr>
          <w:p>
            <w:pPr>
              <w:pStyle w:val="7"/>
              <w:adjustRightInd w:val="0"/>
              <w:snapToGrid w:val="0"/>
              <w:jc w:val="center"/>
              <w:rPr>
                <w:rFonts w:hint="eastAsia" w:cs="仿宋" w:asciiTheme="minorEastAsia" w:hAnsiTheme="minorEastAsia" w:eastAsiaTheme="minorEastAsia"/>
                <w:spacing w:val="-2"/>
                <w:kern w:val="0"/>
                <w:sz w:val="21"/>
                <w:szCs w:val="21"/>
                <w:lang w:val="en-US" w:eastAsia="zh-CN" w:bidi="zh-CN"/>
              </w:rPr>
            </w:pPr>
            <w:r>
              <w:rPr>
                <w:rFonts w:hint="eastAsia" w:cs="仿宋" w:asciiTheme="minorEastAsia" w:hAnsiTheme="minorEastAsia" w:eastAsiaTheme="minorEastAsia"/>
                <w:spacing w:val="-2"/>
                <w:lang w:val="en-US"/>
              </w:rPr>
              <w:t>1</w:t>
            </w:r>
            <w:r>
              <w:rPr>
                <w:rFonts w:cs="仿宋" w:asciiTheme="minorEastAsia" w:hAnsiTheme="minorEastAsia" w:eastAsiaTheme="minorEastAsia"/>
                <w:spacing w:val="-2"/>
                <w:lang w:val="en-US"/>
              </w:rPr>
              <w:t>00%</w:t>
            </w:r>
          </w:p>
        </w:tc>
      </w:tr>
      <w:tr>
        <w:trPr>
          <w:trHeight w:val="454" w:hRule="atLeast"/>
        </w:trPr>
        <w:tc>
          <w:tcPr>
            <w:tcW w:w="2694" w:type="dxa"/>
            <w:vAlign w:val="center"/>
          </w:tcPr>
          <w:p>
            <w:pPr>
              <w:pStyle w:val="7"/>
              <w:adjustRightInd w:val="0"/>
              <w:snapToGrid w:val="0"/>
              <w:jc w:val="center"/>
              <w:rPr>
                <w:rFonts w:hint="default" w:eastAsia="宋体"/>
                <w:lang w:val="en-US" w:eastAsia="zh-CN"/>
              </w:rPr>
            </w:pPr>
            <w:r>
              <w:rPr>
                <w:rFonts w:hint="eastAsia"/>
                <w:lang w:val="en-US" w:eastAsia="zh-CN"/>
              </w:rPr>
              <w:t>岗位实习</w:t>
            </w:r>
          </w:p>
        </w:tc>
        <w:tc>
          <w:tcPr>
            <w:tcW w:w="851" w:type="dxa"/>
            <w:vAlign w:val="center"/>
          </w:tcPr>
          <w:p>
            <w:pPr>
              <w:pStyle w:val="7"/>
              <w:adjustRightInd w:val="0"/>
              <w:snapToGrid w:val="0"/>
              <w:jc w:val="center"/>
              <w:rPr>
                <w:rFonts w:hint="eastAsia" w:eastAsia="宋体"/>
                <w:color w:val="000000"/>
                <w:sz w:val="18"/>
                <w:szCs w:val="18"/>
                <w:lang w:val="en-US" w:eastAsia="zh-CN"/>
              </w:rPr>
            </w:pPr>
            <w:r>
              <w:rPr>
                <w:rFonts w:hint="eastAsia"/>
                <w:color w:val="000000"/>
                <w:sz w:val="18"/>
                <w:szCs w:val="18"/>
                <w:lang w:val="en-US" w:eastAsia="zh-CN"/>
              </w:rPr>
              <w:t>6</w:t>
            </w:r>
          </w:p>
        </w:tc>
        <w:tc>
          <w:tcPr>
            <w:tcW w:w="2835" w:type="dxa"/>
            <w:shd w:val="clear" w:color="auto" w:fill="auto"/>
            <w:vAlign w:val="center"/>
          </w:tcPr>
          <w:p>
            <w:pPr>
              <w:pStyle w:val="7"/>
              <w:adjustRightInd w:val="0"/>
              <w:snapToGrid w:val="0"/>
              <w:jc w:val="center"/>
              <w:rPr>
                <w:rFonts w:hint="eastAsia" w:cs="仿宋" w:asciiTheme="minorEastAsia" w:hAnsiTheme="minorEastAsia" w:eastAsiaTheme="minorEastAsia"/>
                <w:spacing w:val="-2"/>
                <w:kern w:val="0"/>
                <w:sz w:val="21"/>
                <w:szCs w:val="21"/>
                <w:lang w:val="en-US" w:eastAsia="zh-CN" w:bidi="zh-CN"/>
              </w:rPr>
            </w:pPr>
            <w:r>
              <w:rPr>
                <w:rFonts w:hint="eastAsia"/>
              </w:rPr>
              <w:t>云南吉程教育科技有限公司</w:t>
            </w:r>
          </w:p>
        </w:tc>
        <w:tc>
          <w:tcPr>
            <w:tcW w:w="1134" w:type="dxa"/>
            <w:shd w:val="clear" w:color="auto" w:fill="auto"/>
            <w:vAlign w:val="center"/>
          </w:tcPr>
          <w:p>
            <w:pPr>
              <w:pStyle w:val="7"/>
              <w:adjustRightInd w:val="0"/>
              <w:snapToGrid w:val="0"/>
              <w:jc w:val="center"/>
              <w:rPr>
                <w:rFonts w:cs="仿宋" w:asciiTheme="minorEastAsia" w:hAnsiTheme="minorEastAsia" w:eastAsiaTheme="minorEastAsia"/>
                <w:spacing w:val="-2"/>
                <w:kern w:val="0"/>
                <w:sz w:val="21"/>
                <w:szCs w:val="21"/>
                <w:lang w:val="en-US" w:eastAsia="zh-CN" w:bidi="zh-CN"/>
              </w:rPr>
            </w:pPr>
            <w:r>
              <w:rPr>
                <w:rFonts w:cs="仿宋" w:asciiTheme="minorEastAsia" w:hAnsiTheme="minorEastAsia" w:eastAsiaTheme="minorEastAsia"/>
                <w:spacing w:val="-2"/>
                <w:lang w:val="en-US"/>
              </w:rPr>
              <w:t>实习</w:t>
            </w:r>
          </w:p>
        </w:tc>
        <w:tc>
          <w:tcPr>
            <w:tcW w:w="1184" w:type="dxa"/>
            <w:shd w:val="clear" w:color="auto" w:fill="auto"/>
            <w:vAlign w:val="center"/>
          </w:tcPr>
          <w:p>
            <w:pPr>
              <w:pStyle w:val="7"/>
              <w:adjustRightInd w:val="0"/>
              <w:snapToGrid w:val="0"/>
              <w:jc w:val="center"/>
              <w:rPr>
                <w:rFonts w:hint="eastAsia" w:cs="仿宋" w:asciiTheme="minorEastAsia" w:hAnsiTheme="minorEastAsia" w:eastAsiaTheme="minorEastAsia"/>
                <w:spacing w:val="-2"/>
                <w:kern w:val="0"/>
                <w:sz w:val="21"/>
                <w:szCs w:val="21"/>
                <w:lang w:val="en-US" w:eastAsia="zh-CN" w:bidi="zh-CN"/>
              </w:rPr>
            </w:pPr>
            <w:r>
              <w:rPr>
                <w:rFonts w:hint="eastAsia" w:cs="仿宋" w:asciiTheme="minorEastAsia" w:hAnsiTheme="minorEastAsia" w:eastAsiaTheme="minorEastAsia"/>
                <w:spacing w:val="-2"/>
                <w:lang w:val="en-US"/>
              </w:rPr>
              <w:t>1</w:t>
            </w:r>
            <w:r>
              <w:rPr>
                <w:rFonts w:cs="仿宋" w:asciiTheme="minorEastAsia" w:hAnsiTheme="minorEastAsia" w:eastAsiaTheme="minorEastAsia"/>
                <w:spacing w:val="-2"/>
                <w:lang w:val="en-US"/>
              </w:rPr>
              <w:t>00%</w:t>
            </w:r>
          </w:p>
        </w:tc>
      </w:tr>
    </w:tbl>
    <w:p>
      <w:pPr>
        <w:adjustRightInd w:val="0"/>
        <w:snapToGrid w:val="0"/>
        <w:spacing w:before="156" w:beforeLines="50" w:line="360" w:lineRule="auto"/>
        <w:ind w:firstLine="480" w:firstLineChars="200"/>
        <w:outlineLvl w:val="0"/>
        <w:rPr>
          <w:rFonts w:ascii="宋体" w:hAnsi="宋体" w:cs="Angsana New"/>
          <w:b/>
          <w:sz w:val="24"/>
          <w:szCs w:val="24"/>
          <w:lang w:bidi="th-TH"/>
        </w:rPr>
      </w:pPr>
      <w:r>
        <w:rPr>
          <w:rFonts w:hint="eastAsia" w:ascii="宋体" w:hAnsi="宋体" w:cs="Angsana New"/>
          <w:b/>
          <w:sz w:val="24"/>
          <w:szCs w:val="24"/>
          <w:lang w:bidi="th-TH"/>
        </w:rPr>
        <w:t>（六）教学周数分配表</w:t>
      </w:r>
    </w:p>
    <w:p>
      <w:pPr>
        <w:adjustRightInd w:val="0"/>
        <w:snapToGrid w:val="0"/>
        <w:spacing w:line="360" w:lineRule="auto"/>
        <w:ind w:firstLine="480" w:firstLineChars="200"/>
        <w:jc w:val="center"/>
        <w:outlineLvl w:val="0"/>
        <w:rPr>
          <w:rFonts w:ascii="宋体" w:hAnsi="宋体" w:cs="Angsana New"/>
          <w:b/>
          <w:szCs w:val="21"/>
          <w:lang w:bidi="th-TH"/>
        </w:rPr>
      </w:pPr>
      <w:commentRangeStart w:id="0"/>
      <w:r>
        <w:rPr>
          <w:rFonts w:hint="eastAsia" w:ascii="宋体" w:hAnsi="宋体" w:cs="Angsana New"/>
          <w:b/>
          <w:sz w:val="24"/>
          <w:szCs w:val="24"/>
          <w:lang w:bidi="th-TH"/>
        </w:rPr>
        <w:t>表8  教学周数分配表</w:t>
      </w:r>
      <w:commentRangeEnd w:id="0"/>
      <w:r>
        <w:commentReference w:id="0"/>
      </w:r>
    </w:p>
    <w:tbl>
      <w:tblPr>
        <w:tblStyle w:val="12"/>
        <w:tblW w:w="93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584"/>
        <w:gridCol w:w="692"/>
        <w:gridCol w:w="709"/>
        <w:gridCol w:w="1266"/>
        <w:gridCol w:w="1167"/>
        <w:gridCol w:w="992"/>
        <w:gridCol w:w="1394"/>
        <w:gridCol w:w="655"/>
        <w:gridCol w:w="681"/>
        <w:gridCol w:w="721"/>
      </w:tblGrid>
      <w:tr>
        <w:trPr>
          <w:trHeight w:val="397" w:hRule="atLeast"/>
          <w:jc w:val="center"/>
        </w:trPr>
        <w:tc>
          <w:tcPr>
            <w:tcW w:w="1110" w:type="dxa"/>
            <w:gridSpan w:val="2"/>
            <w:vMerge w:val="restart"/>
            <w:shd w:val="clear" w:color="auto" w:fill="auto"/>
            <w:vAlign w:val="center"/>
          </w:tcPr>
          <w:p>
            <w:pPr>
              <w:pStyle w:val="22"/>
              <w:spacing w:line="240" w:lineRule="auto"/>
              <w:ind w:left="0" w:firstLine="0" w:firstLineChars="0"/>
              <w:jc w:val="center"/>
              <w:rPr>
                <w:rFonts w:cs="Microsoft JhengHei"/>
                <w:sz w:val="21"/>
                <w:szCs w:val="21"/>
                <w:lang w:eastAsia="en-US"/>
              </w:rPr>
            </w:pPr>
            <w:r>
              <w:rPr>
                <w:rFonts w:hint="eastAsia" w:cs="Microsoft JhengHei"/>
                <w:b/>
                <w:bCs/>
                <w:w w:val="85"/>
                <w:sz w:val="21"/>
                <w:szCs w:val="21"/>
              </w:rPr>
              <w:t>学期及教学周数</w:t>
            </w:r>
          </w:p>
        </w:tc>
        <w:tc>
          <w:tcPr>
            <w:tcW w:w="692" w:type="dxa"/>
            <w:vMerge w:val="restart"/>
            <w:shd w:val="clear" w:color="auto" w:fill="auto"/>
            <w:vAlign w:val="center"/>
          </w:tcPr>
          <w:p>
            <w:pPr>
              <w:pStyle w:val="22"/>
              <w:spacing w:line="240" w:lineRule="auto"/>
              <w:ind w:left="0" w:firstLine="0" w:firstLineChars="0"/>
              <w:jc w:val="center"/>
              <w:rPr>
                <w:rFonts w:cs="Microsoft JhengHei"/>
                <w:sz w:val="21"/>
                <w:szCs w:val="21"/>
              </w:rPr>
            </w:pPr>
            <w:r>
              <w:rPr>
                <w:rFonts w:hint="eastAsia" w:cs="Microsoft JhengHei"/>
                <w:b/>
                <w:bCs/>
                <w:spacing w:val="3"/>
                <w:w w:val="95"/>
                <w:sz w:val="21"/>
                <w:szCs w:val="21"/>
              </w:rPr>
              <w:t>理论教学</w:t>
            </w:r>
          </w:p>
        </w:tc>
        <w:tc>
          <w:tcPr>
            <w:tcW w:w="709" w:type="dxa"/>
            <w:vMerge w:val="restart"/>
            <w:shd w:val="clear" w:color="auto" w:fill="auto"/>
            <w:vAlign w:val="center"/>
          </w:tcPr>
          <w:p>
            <w:pPr>
              <w:pStyle w:val="22"/>
              <w:spacing w:line="240" w:lineRule="auto"/>
              <w:ind w:left="0" w:firstLine="0" w:firstLineChars="0"/>
              <w:jc w:val="center"/>
              <w:rPr>
                <w:rFonts w:cs="Microsoft JhengHei"/>
                <w:b/>
                <w:bCs/>
                <w:spacing w:val="3"/>
                <w:w w:val="95"/>
                <w:sz w:val="21"/>
                <w:szCs w:val="21"/>
              </w:rPr>
            </w:pPr>
            <w:r>
              <w:rPr>
                <w:rFonts w:hint="eastAsia" w:cs="Microsoft JhengHei"/>
                <w:b/>
                <w:bCs/>
                <w:spacing w:val="3"/>
                <w:w w:val="95"/>
                <w:sz w:val="21"/>
                <w:szCs w:val="21"/>
              </w:rPr>
              <w:t>军事理论</w:t>
            </w:r>
          </w:p>
          <w:p>
            <w:pPr>
              <w:pStyle w:val="22"/>
              <w:spacing w:line="240" w:lineRule="auto"/>
              <w:ind w:left="0" w:firstLine="0" w:firstLineChars="0"/>
              <w:jc w:val="center"/>
              <w:rPr>
                <w:rFonts w:cs="Microsoft JhengHei"/>
                <w:b/>
                <w:bCs/>
                <w:spacing w:val="3"/>
                <w:w w:val="95"/>
                <w:sz w:val="21"/>
                <w:szCs w:val="21"/>
              </w:rPr>
            </w:pPr>
            <w:r>
              <w:rPr>
                <w:rFonts w:hint="eastAsia" w:cs="Microsoft JhengHei"/>
                <w:b/>
                <w:bCs/>
                <w:spacing w:val="3"/>
                <w:w w:val="95"/>
                <w:sz w:val="21"/>
                <w:szCs w:val="21"/>
              </w:rPr>
              <w:t>军事技能</w:t>
            </w:r>
          </w:p>
        </w:tc>
        <w:tc>
          <w:tcPr>
            <w:tcW w:w="4819" w:type="dxa"/>
            <w:gridSpan w:val="4"/>
            <w:shd w:val="clear" w:color="auto" w:fill="auto"/>
            <w:vAlign w:val="center"/>
          </w:tcPr>
          <w:p>
            <w:pPr>
              <w:pStyle w:val="22"/>
              <w:spacing w:line="240" w:lineRule="auto"/>
              <w:ind w:left="0" w:firstLine="0" w:firstLineChars="0"/>
              <w:jc w:val="center"/>
              <w:rPr>
                <w:rFonts w:cs="Microsoft JhengHei"/>
                <w:sz w:val="21"/>
                <w:szCs w:val="21"/>
                <w:lang w:eastAsia="en-US"/>
              </w:rPr>
            </w:pPr>
            <w:r>
              <w:rPr>
                <w:rFonts w:hint="eastAsia" w:cs="Microsoft JhengHei"/>
                <w:b/>
                <w:bCs/>
                <w:spacing w:val="3"/>
                <w:sz w:val="21"/>
                <w:szCs w:val="21"/>
              </w:rPr>
              <w:t>实践教学</w:t>
            </w:r>
          </w:p>
        </w:tc>
        <w:tc>
          <w:tcPr>
            <w:tcW w:w="655" w:type="dxa"/>
            <w:vMerge w:val="restart"/>
            <w:shd w:val="clear" w:color="auto" w:fill="auto"/>
            <w:vAlign w:val="center"/>
          </w:tcPr>
          <w:p>
            <w:pPr>
              <w:pStyle w:val="22"/>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其他</w:t>
            </w:r>
          </w:p>
        </w:tc>
        <w:tc>
          <w:tcPr>
            <w:tcW w:w="681" w:type="dxa"/>
            <w:vMerge w:val="restart"/>
            <w:shd w:val="clear" w:color="auto" w:fill="auto"/>
            <w:vAlign w:val="center"/>
          </w:tcPr>
          <w:p>
            <w:pPr>
              <w:pStyle w:val="22"/>
              <w:spacing w:line="240" w:lineRule="auto"/>
              <w:ind w:left="0" w:firstLine="0" w:firstLineChars="0"/>
              <w:jc w:val="center"/>
              <w:rPr>
                <w:rFonts w:cs="Microsoft JhengHei"/>
                <w:b/>
                <w:bCs/>
                <w:w w:val="85"/>
                <w:sz w:val="21"/>
                <w:szCs w:val="21"/>
              </w:rPr>
            </w:pPr>
            <w:r>
              <w:rPr>
                <w:rFonts w:hint="eastAsia" w:cs="Microsoft JhengHei"/>
                <w:b/>
                <w:bCs/>
                <w:w w:val="85"/>
                <w:sz w:val="21"/>
                <w:szCs w:val="21"/>
              </w:rPr>
              <w:t>考试</w:t>
            </w:r>
          </w:p>
        </w:tc>
        <w:tc>
          <w:tcPr>
            <w:tcW w:w="721" w:type="dxa"/>
            <w:vMerge w:val="restart"/>
            <w:shd w:val="clear" w:color="auto" w:fill="auto"/>
            <w:vAlign w:val="center"/>
          </w:tcPr>
          <w:p>
            <w:pPr>
              <w:pStyle w:val="22"/>
              <w:spacing w:line="240" w:lineRule="auto"/>
              <w:ind w:left="0" w:firstLine="0" w:firstLineChars="0"/>
              <w:jc w:val="center"/>
              <w:rPr>
                <w:rFonts w:cs="Microsoft JhengHei"/>
                <w:sz w:val="21"/>
                <w:szCs w:val="21"/>
                <w:lang w:eastAsia="en-US"/>
              </w:rPr>
            </w:pPr>
            <w:r>
              <w:rPr>
                <w:rFonts w:hint="eastAsia" w:cs="Microsoft JhengHei"/>
                <w:b/>
                <w:bCs/>
                <w:w w:val="85"/>
                <w:sz w:val="21"/>
                <w:szCs w:val="21"/>
              </w:rPr>
              <w:t>合计</w:t>
            </w:r>
          </w:p>
        </w:tc>
      </w:tr>
      <w:tr>
        <w:trPr>
          <w:trHeight w:val="850" w:hRule="exact"/>
          <w:jc w:val="center"/>
        </w:trPr>
        <w:tc>
          <w:tcPr>
            <w:tcW w:w="1110" w:type="dxa"/>
            <w:gridSpan w:val="2"/>
            <w:vMerge w:val="continue"/>
            <w:shd w:val="clear" w:color="auto" w:fill="auto"/>
            <w:vAlign w:val="center"/>
          </w:tcPr>
          <w:p>
            <w:pPr>
              <w:widowControl/>
              <w:jc w:val="center"/>
              <w:rPr>
                <w:rFonts w:ascii="宋体" w:hAnsi="宋体" w:cs="Microsoft JhengHei"/>
                <w:szCs w:val="21"/>
                <w:lang w:eastAsia="en-US"/>
              </w:rPr>
            </w:pPr>
          </w:p>
        </w:tc>
        <w:tc>
          <w:tcPr>
            <w:tcW w:w="692" w:type="dxa"/>
            <w:vMerge w:val="continue"/>
            <w:shd w:val="clear" w:color="auto" w:fill="auto"/>
            <w:vAlign w:val="center"/>
          </w:tcPr>
          <w:p>
            <w:pPr>
              <w:pStyle w:val="22"/>
              <w:spacing w:line="240" w:lineRule="auto"/>
              <w:ind w:left="0" w:firstLine="0" w:firstLineChars="0"/>
              <w:jc w:val="center"/>
              <w:rPr>
                <w:rFonts w:cs="Microsoft JhengHei"/>
                <w:b/>
                <w:bCs/>
                <w:spacing w:val="3"/>
                <w:w w:val="95"/>
                <w:sz w:val="21"/>
                <w:szCs w:val="21"/>
              </w:rPr>
            </w:pPr>
          </w:p>
        </w:tc>
        <w:tc>
          <w:tcPr>
            <w:tcW w:w="709" w:type="dxa"/>
            <w:vMerge w:val="continue"/>
            <w:shd w:val="clear" w:color="auto" w:fill="auto"/>
            <w:vAlign w:val="center"/>
          </w:tcPr>
          <w:p>
            <w:pPr>
              <w:pStyle w:val="22"/>
              <w:spacing w:line="240" w:lineRule="auto"/>
              <w:ind w:left="0" w:firstLine="0" w:firstLineChars="0"/>
              <w:jc w:val="center"/>
              <w:rPr>
                <w:rFonts w:cs="Microsoft JhengHei"/>
                <w:sz w:val="21"/>
                <w:szCs w:val="21"/>
                <w:lang w:eastAsia="en-US"/>
              </w:rPr>
            </w:pPr>
          </w:p>
        </w:tc>
        <w:tc>
          <w:tcPr>
            <w:tcW w:w="1266" w:type="dxa"/>
            <w:shd w:val="clear" w:color="auto" w:fill="auto"/>
            <w:vAlign w:val="center"/>
          </w:tcPr>
          <w:p>
            <w:pPr>
              <w:pStyle w:val="22"/>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课程设计</w:t>
            </w:r>
            <w:r>
              <w:rPr>
                <w:rFonts w:hint="eastAsia" w:cs="Microsoft JhengHei"/>
                <w:b/>
                <w:bCs/>
                <w:spacing w:val="3"/>
                <w:w w:val="95"/>
                <w:sz w:val="18"/>
                <w:szCs w:val="18"/>
              </w:rPr>
              <w:t>（大型作业）</w:t>
            </w:r>
          </w:p>
        </w:tc>
        <w:tc>
          <w:tcPr>
            <w:tcW w:w="1167" w:type="dxa"/>
            <w:shd w:val="clear" w:color="auto" w:fill="auto"/>
            <w:vAlign w:val="center"/>
          </w:tcPr>
          <w:p>
            <w:pPr>
              <w:pStyle w:val="22"/>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技能实训</w:t>
            </w:r>
            <w:r>
              <w:rPr>
                <w:rFonts w:hint="eastAsia" w:cs="Microsoft JhengHei"/>
                <w:b/>
                <w:bCs/>
                <w:spacing w:val="3"/>
                <w:w w:val="95"/>
                <w:sz w:val="18"/>
                <w:szCs w:val="18"/>
              </w:rPr>
              <w:t>（1+X考证）</w:t>
            </w:r>
          </w:p>
        </w:tc>
        <w:tc>
          <w:tcPr>
            <w:tcW w:w="992" w:type="dxa"/>
            <w:shd w:val="clear" w:color="auto" w:fill="auto"/>
            <w:vAlign w:val="center"/>
          </w:tcPr>
          <w:p>
            <w:pPr>
              <w:pStyle w:val="22"/>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教学生产实习</w:t>
            </w:r>
          </w:p>
        </w:tc>
        <w:tc>
          <w:tcPr>
            <w:tcW w:w="1394" w:type="dxa"/>
            <w:shd w:val="clear" w:color="auto" w:fill="auto"/>
            <w:vAlign w:val="center"/>
          </w:tcPr>
          <w:p>
            <w:pPr>
              <w:pStyle w:val="22"/>
              <w:spacing w:line="240" w:lineRule="auto"/>
              <w:ind w:left="0" w:firstLine="0" w:firstLineChars="0"/>
              <w:jc w:val="center"/>
              <w:rPr>
                <w:rFonts w:cs="Microsoft JhengHei"/>
                <w:sz w:val="21"/>
                <w:szCs w:val="21"/>
              </w:rPr>
            </w:pPr>
            <w:r>
              <w:rPr>
                <w:rFonts w:hint="eastAsia" w:cs="Microsoft JhengHei"/>
                <w:b/>
                <w:bCs/>
                <w:spacing w:val="3"/>
                <w:w w:val="95"/>
                <w:sz w:val="21"/>
                <w:szCs w:val="21"/>
              </w:rPr>
              <w:t>岗位实习</w:t>
            </w:r>
          </w:p>
        </w:tc>
        <w:tc>
          <w:tcPr>
            <w:tcW w:w="655" w:type="dxa"/>
            <w:vMerge w:val="continue"/>
            <w:shd w:val="clear" w:color="auto" w:fill="auto"/>
            <w:vAlign w:val="center"/>
          </w:tcPr>
          <w:p>
            <w:pPr>
              <w:widowControl/>
              <w:jc w:val="center"/>
              <w:rPr>
                <w:rFonts w:ascii="宋体" w:hAnsi="宋体" w:cs="Microsoft JhengHei"/>
                <w:szCs w:val="21"/>
              </w:rPr>
            </w:pPr>
          </w:p>
        </w:tc>
        <w:tc>
          <w:tcPr>
            <w:tcW w:w="681" w:type="dxa"/>
            <w:vMerge w:val="continue"/>
            <w:shd w:val="clear" w:color="auto" w:fill="auto"/>
            <w:vAlign w:val="center"/>
          </w:tcPr>
          <w:p>
            <w:pPr>
              <w:widowControl/>
              <w:jc w:val="center"/>
              <w:rPr>
                <w:rFonts w:ascii="宋体" w:hAnsi="宋体" w:cs="Microsoft JhengHei"/>
                <w:szCs w:val="21"/>
              </w:rPr>
            </w:pPr>
          </w:p>
        </w:tc>
        <w:tc>
          <w:tcPr>
            <w:tcW w:w="721" w:type="dxa"/>
            <w:vMerge w:val="continue"/>
            <w:shd w:val="clear" w:color="auto" w:fill="auto"/>
            <w:vAlign w:val="center"/>
          </w:tcPr>
          <w:p>
            <w:pPr>
              <w:widowControl/>
              <w:jc w:val="center"/>
              <w:rPr>
                <w:rFonts w:ascii="宋体" w:hAnsi="宋体" w:cs="Microsoft JhengHei"/>
                <w:szCs w:val="21"/>
              </w:rPr>
            </w:pPr>
          </w:p>
        </w:tc>
      </w:tr>
      <w:tr>
        <w:trPr>
          <w:trHeight w:val="454" w:hRule="atLeast"/>
          <w:jc w:val="center"/>
        </w:trPr>
        <w:tc>
          <w:tcPr>
            <w:tcW w:w="526" w:type="dxa"/>
            <w:shd w:val="clear" w:color="auto" w:fill="auto"/>
            <w:vAlign w:val="center"/>
          </w:tcPr>
          <w:p>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1</w:t>
            </w:r>
          </w:p>
        </w:tc>
        <w:tc>
          <w:tcPr>
            <w:tcW w:w="584" w:type="dxa"/>
            <w:shd w:val="clear" w:color="auto" w:fill="auto"/>
            <w:vAlign w:val="center"/>
          </w:tcPr>
          <w:p>
            <w:pPr>
              <w:pStyle w:val="22"/>
              <w:spacing w:line="240" w:lineRule="auto"/>
              <w:ind w:left="0" w:firstLine="0" w:firstLineChars="0"/>
              <w:jc w:val="center"/>
              <w:rPr>
                <w:rFonts w:cs="Calibri"/>
                <w:sz w:val="21"/>
                <w:szCs w:val="21"/>
              </w:rPr>
            </w:pPr>
            <w:r>
              <w:rPr>
                <w:rFonts w:hint="eastAsia" w:cs="Calibri"/>
                <w:sz w:val="21"/>
                <w:szCs w:val="21"/>
              </w:rPr>
              <w:t>20</w:t>
            </w:r>
          </w:p>
        </w:tc>
        <w:tc>
          <w:tcPr>
            <w:tcW w:w="692" w:type="dxa"/>
            <w:shd w:val="clear" w:color="auto" w:fill="auto"/>
            <w:vAlign w:val="center"/>
          </w:tcPr>
          <w:p>
            <w:pPr>
              <w:pStyle w:val="22"/>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16</w:t>
            </w:r>
          </w:p>
        </w:tc>
        <w:tc>
          <w:tcPr>
            <w:tcW w:w="709" w:type="dxa"/>
            <w:shd w:val="clear" w:color="auto" w:fill="auto"/>
            <w:vAlign w:val="center"/>
          </w:tcPr>
          <w:p>
            <w:pPr>
              <w:pStyle w:val="22"/>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5</w:t>
            </w:r>
          </w:p>
        </w:tc>
        <w:tc>
          <w:tcPr>
            <w:tcW w:w="1266"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1167"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992"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1394"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655" w:type="dxa"/>
            <w:shd w:val="clear" w:color="auto" w:fill="auto"/>
            <w:vAlign w:val="center"/>
          </w:tcPr>
          <w:p>
            <w:pPr>
              <w:pStyle w:val="22"/>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pPr>
              <w:pStyle w:val="22"/>
              <w:spacing w:line="240" w:lineRule="auto"/>
              <w:ind w:left="0" w:firstLine="0" w:firstLineChars="0"/>
              <w:jc w:val="center"/>
              <w:rPr>
                <w:rFonts w:cs="Calibri"/>
                <w:sz w:val="21"/>
                <w:szCs w:val="21"/>
              </w:rPr>
            </w:pPr>
            <w:r>
              <w:rPr>
                <w:rFonts w:hint="eastAsia" w:cs="Calibri"/>
                <w:sz w:val="21"/>
                <w:szCs w:val="21"/>
              </w:rPr>
              <w:t>1</w:t>
            </w:r>
          </w:p>
        </w:tc>
        <w:tc>
          <w:tcPr>
            <w:tcW w:w="721" w:type="dxa"/>
            <w:shd w:val="clear" w:color="auto" w:fill="auto"/>
            <w:vAlign w:val="center"/>
          </w:tcPr>
          <w:p>
            <w:pPr>
              <w:pStyle w:val="22"/>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22</w:t>
            </w:r>
          </w:p>
        </w:tc>
      </w:tr>
      <w:tr>
        <w:trPr>
          <w:trHeight w:val="454" w:hRule="atLeast"/>
          <w:jc w:val="center"/>
        </w:trPr>
        <w:tc>
          <w:tcPr>
            <w:tcW w:w="526" w:type="dxa"/>
            <w:shd w:val="clear" w:color="auto" w:fill="auto"/>
            <w:vAlign w:val="center"/>
          </w:tcPr>
          <w:p>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2</w:t>
            </w:r>
          </w:p>
        </w:tc>
        <w:tc>
          <w:tcPr>
            <w:tcW w:w="584" w:type="dxa"/>
            <w:shd w:val="clear" w:color="auto" w:fill="auto"/>
            <w:vAlign w:val="center"/>
          </w:tcPr>
          <w:p>
            <w:pPr>
              <w:pStyle w:val="22"/>
              <w:spacing w:line="240" w:lineRule="auto"/>
              <w:ind w:left="0" w:firstLine="0" w:firstLineChars="0"/>
              <w:jc w:val="center"/>
              <w:rPr>
                <w:rFonts w:cs="Calibri"/>
                <w:sz w:val="21"/>
                <w:szCs w:val="21"/>
                <w:lang w:val="en-US"/>
              </w:rPr>
            </w:pPr>
            <w:r>
              <w:rPr>
                <w:rFonts w:hint="eastAsia" w:cs="Calibri"/>
                <w:sz w:val="21"/>
                <w:szCs w:val="21"/>
                <w:lang w:val="en-US"/>
              </w:rPr>
              <w:t>18</w:t>
            </w:r>
          </w:p>
        </w:tc>
        <w:tc>
          <w:tcPr>
            <w:tcW w:w="692" w:type="dxa"/>
            <w:shd w:val="clear" w:color="auto" w:fill="auto"/>
            <w:vAlign w:val="center"/>
          </w:tcPr>
          <w:p>
            <w:pPr>
              <w:pStyle w:val="22"/>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16</w:t>
            </w:r>
          </w:p>
        </w:tc>
        <w:tc>
          <w:tcPr>
            <w:tcW w:w="709"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1266"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1167"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992"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1394"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655" w:type="dxa"/>
            <w:shd w:val="clear" w:color="auto" w:fill="auto"/>
            <w:vAlign w:val="center"/>
          </w:tcPr>
          <w:p>
            <w:pPr>
              <w:pStyle w:val="22"/>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w:t>
            </w:r>
          </w:p>
        </w:tc>
        <w:tc>
          <w:tcPr>
            <w:tcW w:w="681" w:type="dxa"/>
            <w:shd w:val="clear" w:color="auto" w:fill="auto"/>
            <w:vAlign w:val="center"/>
          </w:tcPr>
          <w:p>
            <w:pPr>
              <w:pStyle w:val="22"/>
              <w:spacing w:line="240" w:lineRule="auto"/>
              <w:ind w:left="0" w:firstLine="0" w:firstLineChars="0"/>
              <w:jc w:val="center"/>
              <w:rPr>
                <w:rFonts w:cs="Calibri"/>
                <w:sz w:val="21"/>
                <w:szCs w:val="21"/>
              </w:rPr>
            </w:pPr>
            <w:r>
              <w:rPr>
                <w:rFonts w:hint="eastAsia" w:cs="Calibri"/>
                <w:sz w:val="21"/>
                <w:szCs w:val="21"/>
              </w:rPr>
              <w:t>1</w:t>
            </w:r>
          </w:p>
        </w:tc>
        <w:tc>
          <w:tcPr>
            <w:tcW w:w="721" w:type="dxa"/>
            <w:shd w:val="clear" w:color="auto" w:fill="auto"/>
            <w:vAlign w:val="center"/>
          </w:tcPr>
          <w:p>
            <w:pPr>
              <w:pStyle w:val="22"/>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18</w:t>
            </w:r>
          </w:p>
        </w:tc>
      </w:tr>
      <w:tr>
        <w:trPr>
          <w:trHeight w:val="454" w:hRule="atLeast"/>
          <w:jc w:val="center"/>
        </w:trPr>
        <w:tc>
          <w:tcPr>
            <w:tcW w:w="526" w:type="dxa"/>
            <w:shd w:val="clear" w:color="auto" w:fill="auto"/>
            <w:vAlign w:val="center"/>
          </w:tcPr>
          <w:p>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3</w:t>
            </w:r>
          </w:p>
        </w:tc>
        <w:tc>
          <w:tcPr>
            <w:tcW w:w="584" w:type="dxa"/>
            <w:shd w:val="clear" w:color="auto" w:fill="auto"/>
            <w:vAlign w:val="center"/>
          </w:tcPr>
          <w:p>
            <w:pPr>
              <w:pStyle w:val="22"/>
              <w:spacing w:line="240" w:lineRule="auto"/>
              <w:ind w:left="0" w:firstLine="0" w:firstLineChars="0"/>
              <w:jc w:val="center"/>
              <w:rPr>
                <w:rFonts w:cs="Calibri"/>
                <w:sz w:val="21"/>
                <w:szCs w:val="21"/>
              </w:rPr>
            </w:pPr>
            <w:r>
              <w:rPr>
                <w:rFonts w:hint="eastAsia" w:cs="Calibri"/>
                <w:sz w:val="21"/>
                <w:szCs w:val="21"/>
                <w:lang w:val="en-US"/>
              </w:rPr>
              <w:t>4</w:t>
            </w:r>
          </w:p>
        </w:tc>
        <w:tc>
          <w:tcPr>
            <w:tcW w:w="692"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709"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1266"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2</w:t>
            </w:r>
          </w:p>
        </w:tc>
        <w:tc>
          <w:tcPr>
            <w:tcW w:w="1167"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2</w:t>
            </w:r>
          </w:p>
        </w:tc>
        <w:tc>
          <w:tcPr>
            <w:tcW w:w="992"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1394"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655"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721"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4</w:t>
            </w:r>
          </w:p>
        </w:tc>
      </w:tr>
      <w:tr>
        <w:trPr>
          <w:trHeight w:val="454" w:hRule="atLeast"/>
          <w:jc w:val="center"/>
        </w:trPr>
        <w:tc>
          <w:tcPr>
            <w:tcW w:w="526" w:type="dxa"/>
            <w:shd w:val="clear" w:color="auto" w:fill="auto"/>
            <w:vAlign w:val="center"/>
          </w:tcPr>
          <w:p>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4</w:t>
            </w:r>
          </w:p>
        </w:tc>
        <w:tc>
          <w:tcPr>
            <w:tcW w:w="584" w:type="dxa"/>
            <w:shd w:val="clear" w:color="auto" w:fill="auto"/>
            <w:vAlign w:val="center"/>
          </w:tcPr>
          <w:p>
            <w:pPr>
              <w:pStyle w:val="22"/>
              <w:spacing w:line="240" w:lineRule="auto"/>
              <w:ind w:left="0" w:firstLine="0" w:firstLineChars="0"/>
              <w:jc w:val="center"/>
              <w:rPr>
                <w:rFonts w:cs="Calibri"/>
                <w:sz w:val="21"/>
                <w:szCs w:val="21"/>
              </w:rPr>
            </w:pPr>
            <w:r>
              <w:rPr>
                <w:rFonts w:hint="eastAsia" w:cs="Calibri"/>
                <w:sz w:val="21"/>
                <w:szCs w:val="21"/>
              </w:rPr>
              <w:t>20</w:t>
            </w:r>
          </w:p>
        </w:tc>
        <w:tc>
          <w:tcPr>
            <w:tcW w:w="692" w:type="dxa"/>
            <w:shd w:val="clear" w:color="auto" w:fill="auto"/>
            <w:vAlign w:val="center"/>
          </w:tcPr>
          <w:p>
            <w:pPr>
              <w:pStyle w:val="22"/>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16</w:t>
            </w:r>
          </w:p>
        </w:tc>
        <w:tc>
          <w:tcPr>
            <w:tcW w:w="709"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1266"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1</w:t>
            </w:r>
          </w:p>
        </w:tc>
        <w:tc>
          <w:tcPr>
            <w:tcW w:w="1167"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1</w:t>
            </w:r>
          </w:p>
        </w:tc>
        <w:tc>
          <w:tcPr>
            <w:tcW w:w="992"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1394"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655"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1</w:t>
            </w:r>
          </w:p>
        </w:tc>
        <w:tc>
          <w:tcPr>
            <w:tcW w:w="681" w:type="dxa"/>
            <w:shd w:val="clear" w:color="auto" w:fill="auto"/>
            <w:vAlign w:val="center"/>
          </w:tcPr>
          <w:p>
            <w:pPr>
              <w:pStyle w:val="22"/>
              <w:spacing w:line="240" w:lineRule="auto"/>
              <w:ind w:left="0" w:firstLine="0" w:firstLineChars="0"/>
              <w:jc w:val="center"/>
              <w:rPr>
                <w:rFonts w:cs="Calibri"/>
                <w:sz w:val="21"/>
                <w:szCs w:val="21"/>
              </w:rPr>
            </w:pPr>
            <w:r>
              <w:rPr>
                <w:rFonts w:hint="eastAsia" w:cs="Calibri"/>
                <w:sz w:val="21"/>
                <w:szCs w:val="21"/>
              </w:rPr>
              <w:t>1</w:t>
            </w:r>
          </w:p>
        </w:tc>
        <w:tc>
          <w:tcPr>
            <w:tcW w:w="721" w:type="dxa"/>
            <w:shd w:val="clear" w:color="auto" w:fill="auto"/>
            <w:vAlign w:val="center"/>
          </w:tcPr>
          <w:p>
            <w:pPr>
              <w:pStyle w:val="22"/>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20</w:t>
            </w:r>
          </w:p>
        </w:tc>
      </w:tr>
      <w:tr>
        <w:trPr>
          <w:trHeight w:val="454" w:hRule="atLeast"/>
          <w:jc w:val="center"/>
        </w:trPr>
        <w:tc>
          <w:tcPr>
            <w:tcW w:w="526" w:type="dxa"/>
            <w:shd w:val="clear" w:color="auto" w:fill="auto"/>
            <w:vAlign w:val="center"/>
          </w:tcPr>
          <w:p>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5</w:t>
            </w:r>
          </w:p>
        </w:tc>
        <w:tc>
          <w:tcPr>
            <w:tcW w:w="584" w:type="dxa"/>
            <w:shd w:val="clear" w:color="auto" w:fill="auto"/>
            <w:vAlign w:val="center"/>
          </w:tcPr>
          <w:p>
            <w:pPr>
              <w:pStyle w:val="22"/>
              <w:spacing w:line="240" w:lineRule="auto"/>
              <w:ind w:left="0" w:firstLine="0" w:firstLineChars="0"/>
              <w:jc w:val="center"/>
              <w:rPr>
                <w:rFonts w:cs="Calibri"/>
                <w:sz w:val="21"/>
                <w:szCs w:val="21"/>
                <w:lang w:val="en-US"/>
              </w:rPr>
            </w:pPr>
            <w:r>
              <w:rPr>
                <w:rFonts w:hint="eastAsia" w:cs="Calibri"/>
                <w:sz w:val="21"/>
                <w:szCs w:val="21"/>
                <w:lang w:val="en-US"/>
              </w:rPr>
              <w:t>18</w:t>
            </w:r>
          </w:p>
        </w:tc>
        <w:tc>
          <w:tcPr>
            <w:tcW w:w="692" w:type="dxa"/>
            <w:shd w:val="clear" w:color="auto" w:fill="auto"/>
            <w:vAlign w:val="center"/>
          </w:tcPr>
          <w:p>
            <w:pPr>
              <w:pStyle w:val="22"/>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16</w:t>
            </w:r>
          </w:p>
        </w:tc>
        <w:tc>
          <w:tcPr>
            <w:tcW w:w="709"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1266"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1167"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992"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1394"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655"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1</w:t>
            </w:r>
          </w:p>
        </w:tc>
        <w:tc>
          <w:tcPr>
            <w:tcW w:w="681" w:type="dxa"/>
            <w:shd w:val="clear" w:color="auto" w:fill="auto"/>
            <w:vAlign w:val="center"/>
          </w:tcPr>
          <w:p>
            <w:pPr>
              <w:pStyle w:val="22"/>
              <w:spacing w:line="240" w:lineRule="auto"/>
              <w:ind w:left="0" w:firstLine="0" w:firstLineChars="0"/>
              <w:jc w:val="center"/>
              <w:rPr>
                <w:rFonts w:cs="Calibri"/>
                <w:sz w:val="21"/>
                <w:szCs w:val="21"/>
              </w:rPr>
            </w:pPr>
            <w:r>
              <w:rPr>
                <w:rFonts w:hint="eastAsia" w:cs="Calibri"/>
                <w:sz w:val="21"/>
                <w:szCs w:val="21"/>
              </w:rPr>
              <w:t>1</w:t>
            </w:r>
          </w:p>
        </w:tc>
        <w:tc>
          <w:tcPr>
            <w:tcW w:w="721" w:type="dxa"/>
            <w:shd w:val="clear" w:color="auto" w:fill="auto"/>
            <w:vAlign w:val="center"/>
          </w:tcPr>
          <w:p>
            <w:pPr>
              <w:pStyle w:val="22"/>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18</w:t>
            </w:r>
          </w:p>
        </w:tc>
      </w:tr>
      <w:tr>
        <w:trPr>
          <w:trHeight w:val="454" w:hRule="atLeast"/>
          <w:jc w:val="center"/>
        </w:trPr>
        <w:tc>
          <w:tcPr>
            <w:tcW w:w="526" w:type="dxa"/>
            <w:shd w:val="clear" w:color="auto" w:fill="auto"/>
            <w:vAlign w:val="center"/>
          </w:tcPr>
          <w:p>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6</w:t>
            </w:r>
          </w:p>
        </w:tc>
        <w:tc>
          <w:tcPr>
            <w:tcW w:w="584" w:type="dxa"/>
            <w:shd w:val="clear" w:color="auto" w:fill="auto"/>
            <w:vAlign w:val="center"/>
          </w:tcPr>
          <w:p>
            <w:pPr>
              <w:pStyle w:val="22"/>
              <w:spacing w:line="240" w:lineRule="auto"/>
              <w:ind w:left="0" w:firstLine="0" w:firstLineChars="0"/>
              <w:jc w:val="center"/>
              <w:rPr>
                <w:rFonts w:cs="Calibri"/>
                <w:sz w:val="21"/>
                <w:szCs w:val="21"/>
              </w:rPr>
            </w:pPr>
            <w:r>
              <w:rPr>
                <w:rFonts w:hint="eastAsia" w:cs="Calibri"/>
                <w:sz w:val="21"/>
                <w:szCs w:val="21"/>
                <w:lang w:val="en-US"/>
              </w:rPr>
              <w:t>4</w:t>
            </w:r>
          </w:p>
        </w:tc>
        <w:tc>
          <w:tcPr>
            <w:tcW w:w="692" w:type="dxa"/>
            <w:shd w:val="clear" w:color="auto" w:fill="auto"/>
            <w:vAlign w:val="center"/>
          </w:tcPr>
          <w:p>
            <w:pPr>
              <w:pStyle w:val="22"/>
              <w:ind w:left="0" w:firstLine="0" w:firstLineChars="0"/>
              <w:jc w:val="center"/>
              <w:rPr>
                <w:rFonts w:hint="eastAsia" w:eastAsia="宋体"/>
                <w:sz w:val="21"/>
                <w:szCs w:val="21"/>
                <w:lang w:val="en-US" w:eastAsia="zh-CN"/>
              </w:rPr>
            </w:pPr>
            <w:r>
              <w:rPr>
                <w:rFonts w:hint="eastAsia"/>
                <w:sz w:val="21"/>
                <w:szCs w:val="21"/>
                <w:lang w:val="en-US" w:eastAsia="zh-CN"/>
              </w:rPr>
              <w:t>0</w:t>
            </w:r>
          </w:p>
        </w:tc>
        <w:tc>
          <w:tcPr>
            <w:tcW w:w="709"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1266"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2</w:t>
            </w:r>
          </w:p>
        </w:tc>
        <w:tc>
          <w:tcPr>
            <w:tcW w:w="1167"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2</w:t>
            </w:r>
          </w:p>
        </w:tc>
        <w:tc>
          <w:tcPr>
            <w:tcW w:w="992"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1394"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55"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pPr>
              <w:pStyle w:val="22"/>
              <w:spacing w:line="240" w:lineRule="auto"/>
              <w:ind w:left="0" w:firstLine="0" w:firstLineChars="0"/>
              <w:jc w:val="center"/>
              <w:rPr>
                <w:rFonts w:cs="Calibri"/>
                <w:sz w:val="21"/>
                <w:szCs w:val="21"/>
              </w:rPr>
            </w:pPr>
            <w:r>
              <w:rPr>
                <w:rFonts w:hint="eastAsia" w:cs="Calibri"/>
                <w:sz w:val="21"/>
                <w:szCs w:val="21"/>
              </w:rPr>
              <w:t>0</w:t>
            </w:r>
          </w:p>
        </w:tc>
        <w:tc>
          <w:tcPr>
            <w:tcW w:w="721"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4</w:t>
            </w:r>
          </w:p>
        </w:tc>
      </w:tr>
      <w:tr>
        <w:trPr>
          <w:trHeight w:val="454" w:hRule="atLeast"/>
          <w:jc w:val="center"/>
        </w:trPr>
        <w:tc>
          <w:tcPr>
            <w:tcW w:w="526" w:type="dxa"/>
            <w:shd w:val="clear" w:color="auto" w:fill="auto"/>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7</w:t>
            </w:r>
          </w:p>
        </w:tc>
        <w:tc>
          <w:tcPr>
            <w:tcW w:w="584" w:type="dxa"/>
            <w:shd w:val="clear" w:color="auto" w:fill="auto"/>
            <w:vAlign w:val="center"/>
          </w:tcPr>
          <w:p>
            <w:pPr>
              <w:pStyle w:val="22"/>
              <w:spacing w:line="240" w:lineRule="auto"/>
              <w:ind w:left="0" w:firstLine="0" w:firstLineChars="0"/>
              <w:jc w:val="center"/>
              <w:rPr>
                <w:rFonts w:cs="Calibri"/>
                <w:sz w:val="21"/>
                <w:szCs w:val="21"/>
                <w:lang w:val="en-US"/>
              </w:rPr>
            </w:pPr>
            <w:r>
              <w:rPr>
                <w:rFonts w:hint="eastAsia" w:cs="Calibri"/>
                <w:sz w:val="21"/>
                <w:szCs w:val="21"/>
                <w:lang w:val="en-US"/>
              </w:rPr>
              <w:t>20</w:t>
            </w:r>
          </w:p>
        </w:tc>
        <w:tc>
          <w:tcPr>
            <w:tcW w:w="692" w:type="dxa"/>
            <w:shd w:val="clear" w:color="auto" w:fill="auto"/>
            <w:vAlign w:val="center"/>
          </w:tcPr>
          <w:p>
            <w:pPr>
              <w:pStyle w:val="22"/>
              <w:ind w:left="0" w:firstLine="0" w:firstLineChars="0"/>
              <w:jc w:val="center"/>
              <w:rPr>
                <w:rFonts w:hint="default" w:eastAsia="宋体"/>
                <w:sz w:val="21"/>
                <w:szCs w:val="21"/>
                <w:lang w:val="en-US" w:eastAsia="zh-CN"/>
              </w:rPr>
            </w:pPr>
            <w:r>
              <w:rPr>
                <w:rFonts w:hint="eastAsia"/>
                <w:sz w:val="21"/>
                <w:szCs w:val="21"/>
                <w:lang w:val="en-US" w:eastAsia="zh-CN"/>
              </w:rPr>
              <w:t>0</w:t>
            </w:r>
          </w:p>
        </w:tc>
        <w:tc>
          <w:tcPr>
            <w:tcW w:w="709"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1266"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4</w:t>
            </w:r>
          </w:p>
        </w:tc>
        <w:tc>
          <w:tcPr>
            <w:tcW w:w="1167"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992"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1394" w:type="dxa"/>
            <w:shd w:val="clear" w:color="auto" w:fill="auto"/>
            <w:vAlign w:val="center"/>
          </w:tcPr>
          <w:p>
            <w:pPr>
              <w:pStyle w:val="22"/>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13</w:t>
            </w:r>
          </w:p>
        </w:tc>
        <w:tc>
          <w:tcPr>
            <w:tcW w:w="655"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721" w:type="dxa"/>
            <w:shd w:val="clear" w:color="auto" w:fill="auto"/>
            <w:vAlign w:val="center"/>
          </w:tcPr>
          <w:p>
            <w:pPr>
              <w:pStyle w:val="22"/>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17</w:t>
            </w:r>
          </w:p>
        </w:tc>
      </w:tr>
      <w:tr>
        <w:trPr>
          <w:trHeight w:val="454" w:hRule="atLeast"/>
          <w:jc w:val="center"/>
        </w:trPr>
        <w:tc>
          <w:tcPr>
            <w:tcW w:w="526" w:type="dxa"/>
            <w:shd w:val="clear" w:color="auto" w:fill="auto"/>
            <w:vAlign w:val="center"/>
          </w:tcPr>
          <w:p>
            <w:pPr>
              <w:jc w:val="center"/>
              <w:rPr>
                <w:rFonts w:asciiTheme="minorEastAsia" w:hAnsiTheme="minorEastAsia" w:eastAsiaTheme="minorEastAsia" w:cstheme="minorEastAsia"/>
              </w:rPr>
            </w:pPr>
            <w:r>
              <w:rPr>
                <w:rFonts w:hint="eastAsia" w:asciiTheme="minorEastAsia" w:hAnsiTheme="minorEastAsia" w:eastAsiaTheme="minorEastAsia" w:cstheme="minorEastAsia"/>
              </w:rPr>
              <w:t>8</w:t>
            </w:r>
          </w:p>
        </w:tc>
        <w:tc>
          <w:tcPr>
            <w:tcW w:w="584" w:type="dxa"/>
            <w:shd w:val="clear" w:color="auto" w:fill="auto"/>
            <w:vAlign w:val="center"/>
          </w:tcPr>
          <w:p>
            <w:pPr>
              <w:pStyle w:val="22"/>
              <w:spacing w:line="240" w:lineRule="auto"/>
              <w:ind w:left="0" w:firstLine="0" w:firstLineChars="0"/>
              <w:jc w:val="center"/>
              <w:rPr>
                <w:rFonts w:cs="Calibri"/>
                <w:sz w:val="21"/>
                <w:szCs w:val="21"/>
                <w:lang w:val="en-US"/>
              </w:rPr>
            </w:pPr>
            <w:r>
              <w:rPr>
                <w:rFonts w:hint="eastAsia" w:cs="Calibri"/>
                <w:sz w:val="21"/>
                <w:szCs w:val="21"/>
                <w:lang w:val="en-US"/>
              </w:rPr>
              <w:t>18</w:t>
            </w:r>
          </w:p>
        </w:tc>
        <w:tc>
          <w:tcPr>
            <w:tcW w:w="692" w:type="dxa"/>
            <w:shd w:val="clear" w:color="auto" w:fill="auto"/>
            <w:vAlign w:val="center"/>
          </w:tcPr>
          <w:p>
            <w:pPr>
              <w:pStyle w:val="22"/>
              <w:ind w:left="0" w:firstLine="0" w:firstLineChars="0"/>
              <w:jc w:val="center"/>
              <w:rPr>
                <w:rFonts w:hint="eastAsia" w:eastAsia="宋体"/>
                <w:sz w:val="21"/>
                <w:szCs w:val="21"/>
                <w:lang w:val="en-US" w:eastAsia="zh-CN"/>
              </w:rPr>
            </w:pPr>
            <w:r>
              <w:rPr>
                <w:rFonts w:hint="eastAsia"/>
                <w:sz w:val="21"/>
                <w:szCs w:val="21"/>
                <w:lang w:val="en-US" w:eastAsia="zh-CN"/>
              </w:rPr>
              <w:t>0</w:t>
            </w:r>
          </w:p>
        </w:tc>
        <w:tc>
          <w:tcPr>
            <w:tcW w:w="709"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1266"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1167"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992" w:type="dxa"/>
            <w:shd w:val="clear" w:color="auto" w:fill="auto"/>
            <w:vAlign w:val="center"/>
          </w:tcPr>
          <w:p>
            <w:pPr>
              <w:jc w:val="center"/>
              <w:rPr>
                <w:rFonts w:hint="eastAsia" w:ascii="宋体" w:hAnsi="宋体" w:eastAsia="宋体"/>
                <w:szCs w:val="21"/>
                <w:lang w:val="en-US" w:eastAsia="zh-CN"/>
              </w:rPr>
            </w:pPr>
            <w:r>
              <w:rPr>
                <w:rFonts w:hint="eastAsia" w:ascii="宋体" w:hAnsi="宋体"/>
                <w:szCs w:val="21"/>
                <w:lang w:val="en-US" w:eastAsia="zh-CN"/>
              </w:rPr>
              <w:t>0</w:t>
            </w:r>
          </w:p>
        </w:tc>
        <w:tc>
          <w:tcPr>
            <w:tcW w:w="1394" w:type="dxa"/>
            <w:shd w:val="clear" w:color="auto" w:fill="auto"/>
            <w:vAlign w:val="center"/>
          </w:tcPr>
          <w:p>
            <w:pPr>
              <w:pStyle w:val="22"/>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13</w:t>
            </w:r>
          </w:p>
        </w:tc>
        <w:tc>
          <w:tcPr>
            <w:tcW w:w="655"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681" w:type="dxa"/>
            <w:shd w:val="clear" w:color="auto" w:fill="auto"/>
            <w:vAlign w:val="center"/>
          </w:tcPr>
          <w:p>
            <w:pPr>
              <w:pStyle w:val="22"/>
              <w:spacing w:line="240" w:lineRule="auto"/>
              <w:ind w:left="0" w:firstLine="0" w:firstLineChars="0"/>
              <w:jc w:val="center"/>
              <w:rPr>
                <w:rFonts w:hint="eastAsia" w:eastAsia="宋体" w:cs="Calibri"/>
                <w:sz w:val="21"/>
                <w:szCs w:val="21"/>
                <w:lang w:val="en-US" w:eastAsia="zh-CN"/>
              </w:rPr>
            </w:pPr>
            <w:r>
              <w:rPr>
                <w:rFonts w:hint="eastAsia" w:cs="Calibri"/>
                <w:sz w:val="21"/>
                <w:szCs w:val="21"/>
                <w:lang w:val="en-US" w:eastAsia="zh-CN"/>
              </w:rPr>
              <w:t>0</w:t>
            </w:r>
          </w:p>
        </w:tc>
        <w:tc>
          <w:tcPr>
            <w:tcW w:w="721" w:type="dxa"/>
            <w:shd w:val="clear" w:color="auto" w:fill="auto"/>
            <w:vAlign w:val="center"/>
          </w:tcPr>
          <w:p>
            <w:pPr>
              <w:pStyle w:val="22"/>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13</w:t>
            </w:r>
          </w:p>
        </w:tc>
      </w:tr>
      <w:tr>
        <w:trPr>
          <w:trHeight w:val="567" w:hRule="exact"/>
          <w:jc w:val="center"/>
        </w:trPr>
        <w:tc>
          <w:tcPr>
            <w:tcW w:w="1110" w:type="dxa"/>
            <w:gridSpan w:val="2"/>
            <w:shd w:val="clear" w:color="auto" w:fill="auto"/>
            <w:vAlign w:val="center"/>
          </w:tcPr>
          <w:p>
            <w:pPr>
              <w:pStyle w:val="22"/>
              <w:spacing w:line="240" w:lineRule="auto"/>
              <w:ind w:left="0" w:firstLine="0" w:firstLineChars="0"/>
              <w:jc w:val="center"/>
              <w:rPr>
                <w:rFonts w:cs="Microsoft JhengHei"/>
                <w:sz w:val="21"/>
                <w:szCs w:val="21"/>
                <w:lang w:eastAsia="en-US"/>
              </w:rPr>
            </w:pPr>
            <w:r>
              <w:rPr>
                <w:rFonts w:hint="eastAsia" w:cs="Microsoft JhengHei"/>
                <w:b/>
                <w:bCs/>
                <w:spacing w:val="3"/>
                <w:w w:val="90"/>
                <w:sz w:val="21"/>
                <w:szCs w:val="21"/>
              </w:rPr>
              <w:t>合计（周）</w:t>
            </w:r>
          </w:p>
        </w:tc>
        <w:tc>
          <w:tcPr>
            <w:tcW w:w="692" w:type="dxa"/>
            <w:shd w:val="clear" w:color="auto" w:fill="auto"/>
            <w:vAlign w:val="center"/>
          </w:tcPr>
          <w:p>
            <w:pPr>
              <w:pStyle w:val="22"/>
              <w:spacing w:line="240" w:lineRule="auto"/>
              <w:ind w:left="0" w:firstLine="0" w:firstLineChars="0"/>
              <w:jc w:val="center"/>
              <w:rPr>
                <w:rFonts w:cs="Calibri"/>
                <w:sz w:val="21"/>
                <w:szCs w:val="21"/>
                <w:lang w:eastAsia="en-US"/>
              </w:rPr>
            </w:pPr>
          </w:p>
        </w:tc>
        <w:tc>
          <w:tcPr>
            <w:tcW w:w="709" w:type="dxa"/>
            <w:shd w:val="clear" w:color="auto" w:fill="auto"/>
            <w:vAlign w:val="center"/>
          </w:tcPr>
          <w:p>
            <w:pPr>
              <w:pStyle w:val="22"/>
              <w:spacing w:line="240" w:lineRule="auto"/>
              <w:ind w:left="0" w:firstLine="0" w:firstLineChars="0"/>
              <w:jc w:val="center"/>
              <w:rPr>
                <w:rFonts w:cs="Calibri"/>
                <w:sz w:val="21"/>
                <w:szCs w:val="21"/>
                <w:lang w:eastAsia="en-US"/>
              </w:rPr>
            </w:pPr>
          </w:p>
        </w:tc>
        <w:tc>
          <w:tcPr>
            <w:tcW w:w="1266" w:type="dxa"/>
            <w:shd w:val="clear" w:color="auto" w:fill="auto"/>
            <w:vAlign w:val="center"/>
          </w:tcPr>
          <w:p>
            <w:pPr>
              <w:jc w:val="center"/>
              <w:rPr>
                <w:rFonts w:ascii="宋体" w:hAnsi="宋体"/>
                <w:szCs w:val="21"/>
                <w:lang w:eastAsia="en-US"/>
              </w:rPr>
            </w:pPr>
          </w:p>
        </w:tc>
        <w:tc>
          <w:tcPr>
            <w:tcW w:w="1167" w:type="dxa"/>
            <w:shd w:val="clear" w:color="auto" w:fill="auto"/>
            <w:vAlign w:val="center"/>
          </w:tcPr>
          <w:p>
            <w:pPr>
              <w:pStyle w:val="22"/>
              <w:spacing w:line="240" w:lineRule="auto"/>
              <w:ind w:left="0" w:firstLine="0" w:firstLineChars="0"/>
              <w:jc w:val="center"/>
              <w:rPr>
                <w:rFonts w:cs="Calibri"/>
                <w:sz w:val="21"/>
                <w:szCs w:val="21"/>
                <w:lang w:eastAsia="en-US"/>
              </w:rPr>
            </w:pPr>
          </w:p>
        </w:tc>
        <w:tc>
          <w:tcPr>
            <w:tcW w:w="992" w:type="dxa"/>
            <w:shd w:val="clear" w:color="auto" w:fill="auto"/>
            <w:vAlign w:val="center"/>
          </w:tcPr>
          <w:p>
            <w:pPr>
              <w:jc w:val="center"/>
              <w:rPr>
                <w:rFonts w:ascii="宋体" w:hAnsi="宋体"/>
                <w:szCs w:val="21"/>
                <w:lang w:eastAsia="en-US"/>
              </w:rPr>
            </w:pPr>
          </w:p>
        </w:tc>
        <w:tc>
          <w:tcPr>
            <w:tcW w:w="1394" w:type="dxa"/>
            <w:shd w:val="clear" w:color="auto" w:fill="auto"/>
            <w:vAlign w:val="center"/>
          </w:tcPr>
          <w:p>
            <w:pPr>
              <w:pStyle w:val="22"/>
              <w:spacing w:line="240" w:lineRule="auto"/>
              <w:ind w:left="0" w:firstLine="0" w:firstLineChars="0"/>
              <w:jc w:val="center"/>
              <w:rPr>
                <w:rFonts w:cs="Calibri"/>
                <w:sz w:val="21"/>
                <w:szCs w:val="21"/>
                <w:lang w:eastAsia="en-US"/>
              </w:rPr>
            </w:pPr>
          </w:p>
        </w:tc>
        <w:tc>
          <w:tcPr>
            <w:tcW w:w="655" w:type="dxa"/>
            <w:shd w:val="clear" w:color="auto" w:fill="auto"/>
            <w:vAlign w:val="center"/>
          </w:tcPr>
          <w:p>
            <w:pPr>
              <w:pStyle w:val="22"/>
              <w:spacing w:line="240" w:lineRule="auto"/>
              <w:ind w:left="0" w:firstLine="0" w:firstLineChars="0"/>
              <w:jc w:val="center"/>
              <w:rPr>
                <w:rFonts w:cs="Calibri"/>
                <w:sz w:val="21"/>
                <w:szCs w:val="21"/>
                <w:lang w:eastAsia="en-US"/>
              </w:rPr>
            </w:pPr>
          </w:p>
        </w:tc>
        <w:tc>
          <w:tcPr>
            <w:tcW w:w="681" w:type="dxa"/>
            <w:shd w:val="clear" w:color="auto" w:fill="auto"/>
            <w:vAlign w:val="center"/>
          </w:tcPr>
          <w:p>
            <w:pPr>
              <w:pStyle w:val="22"/>
              <w:spacing w:line="240" w:lineRule="auto"/>
              <w:ind w:left="0" w:firstLine="0" w:firstLineChars="0"/>
              <w:jc w:val="center"/>
              <w:rPr>
                <w:rFonts w:cs="Calibri"/>
                <w:sz w:val="21"/>
                <w:szCs w:val="21"/>
                <w:lang w:eastAsia="en-US"/>
              </w:rPr>
            </w:pPr>
          </w:p>
        </w:tc>
        <w:tc>
          <w:tcPr>
            <w:tcW w:w="721" w:type="dxa"/>
            <w:shd w:val="clear" w:color="auto" w:fill="auto"/>
            <w:vAlign w:val="center"/>
          </w:tcPr>
          <w:p>
            <w:pPr>
              <w:pStyle w:val="22"/>
              <w:spacing w:line="240" w:lineRule="auto"/>
              <w:ind w:left="0" w:firstLine="0" w:firstLineChars="0"/>
              <w:jc w:val="center"/>
              <w:rPr>
                <w:rFonts w:cs="Calibri"/>
                <w:sz w:val="21"/>
                <w:szCs w:val="21"/>
                <w:lang w:eastAsia="en-US"/>
              </w:rPr>
            </w:pPr>
          </w:p>
        </w:tc>
      </w:tr>
    </w:tbl>
    <w:p>
      <w:pPr>
        <w:adjustRightInd w:val="0"/>
        <w:snapToGrid w:val="0"/>
        <w:spacing w:before="156" w:beforeLines="50" w:line="360" w:lineRule="auto"/>
        <w:ind w:firstLine="480" w:firstLineChars="200"/>
        <w:outlineLvl w:val="1"/>
        <w:rPr>
          <w:rFonts w:hint="eastAsia" w:ascii="宋体" w:hAnsi="宋体" w:cs="Angsana New"/>
          <w:b/>
          <w:sz w:val="24"/>
          <w:szCs w:val="24"/>
          <w:lang w:bidi="th-TH"/>
        </w:rPr>
      </w:pPr>
    </w:p>
    <w:p>
      <w:pPr>
        <w:adjustRightInd w:val="0"/>
        <w:snapToGrid w:val="0"/>
        <w:spacing w:before="156" w:beforeLines="50" w:line="360" w:lineRule="auto"/>
        <w:ind w:firstLine="480" w:firstLineChars="200"/>
        <w:outlineLvl w:val="1"/>
        <w:rPr>
          <w:rFonts w:ascii="宋体" w:hAnsi="宋体" w:cs="Angsana New"/>
          <w:b/>
          <w:sz w:val="24"/>
          <w:szCs w:val="24"/>
          <w:lang w:bidi="th-TH"/>
        </w:rPr>
      </w:pPr>
      <w:r>
        <w:rPr>
          <w:rFonts w:hint="eastAsia" w:ascii="宋体" w:hAnsi="宋体" w:cs="Angsana New"/>
          <w:b/>
          <w:sz w:val="24"/>
          <w:szCs w:val="24"/>
          <w:lang w:bidi="th-TH"/>
        </w:rPr>
        <w:t>（</w:t>
      </w:r>
      <w:r>
        <w:rPr>
          <w:rFonts w:hint="eastAsia" w:ascii="宋体" w:hAnsi="宋体" w:cs="Angsana New"/>
          <w:b/>
          <w:sz w:val="24"/>
          <w:szCs w:val="24"/>
          <w:lang w:val="en-US" w:eastAsia="zh-CN" w:bidi="th-TH"/>
        </w:rPr>
        <w:t>七</w:t>
      </w:r>
      <w:r>
        <w:rPr>
          <w:rFonts w:hint="eastAsia" w:ascii="宋体" w:hAnsi="宋体" w:cs="Angsana New"/>
          <w:b/>
          <w:sz w:val="24"/>
          <w:szCs w:val="24"/>
          <w:lang w:bidi="th-TH"/>
        </w:rPr>
        <w:t>）教学进程表</w:t>
      </w:r>
    </w:p>
    <w:p>
      <w:pPr>
        <w:adjustRightInd w:val="0"/>
        <w:snapToGrid w:val="0"/>
        <w:spacing w:line="360" w:lineRule="auto"/>
        <w:ind w:firstLine="480" w:firstLineChars="200"/>
        <w:rPr>
          <w:rFonts w:ascii="宋体" w:hAnsi="宋体" w:cs="Angsana New"/>
          <w:sz w:val="24"/>
          <w:szCs w:val="24"/>
          <w:lang w:bidi="th-TH"/>
        </w:rPr>
      </w:pPr>
      <w:r>
        <w:rPr>
          <w:rFonts w:hint="eastAsia" w:ascii="宋体" w:cs="Angsana New"/>
          <w:color w:val="000000" w:themeColor="text1"/>
          <w:sz w:val="24"/>
          <w:szCs w:val="24"/>
          <w:lang w:bidi="th-TH"/>
          <w14:textFill>
            <w14:solidFill>
              <w14:schemeClr w14:val="tx1"/>
            </w14:solidFill>
          </w14:textFill>
        </w:rPr>
        <w:t>详见附件“专业教学进程安排表”。</w:t>
      </w:r>
    </w:p>
    <w:p>
      <w:pPr>
        <w:spacing w:before="156" w:beforeLines="50" w:after="156" w:afterLines="50"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val="en-US" w:eastAsia="zh-CN" w:bidi="th-TH"/>
        </w:rPr>
        <w:t>七</w:t>
      </w:r>
      <w:r>
        <w:rPr>
          <w:rFonts w:hint="eastAsia" w:ascii="黑体" w:hAnsi="黑体" w:eastAsia="黑体" w:cs="Angsana New"/>
          <w:bCs/>
          <w:sz w:val="28"/>
          <w:szCs w:val="28"/>
          <w:lang w:bidi="th-TH"/>
        </w:rPr>
        <w:t>、毕业要求</w:t>
      </w:r>
    </w:p>
    <w:p>
      <w:pPr>
        <w:adjustRightInd w:val="0"/>
        <w:snapToGrid w:val="0"/>
        <w:spacing w:line="360" w:lineRule="auto"/>
        <w:ind w:firstLine="480" w:firstLineChars="200"/>
        <w:rPr>
          <w:rFonts w:ascii="宋体" w:cs="Angsana New"/>
          <w:color w:val="000000" w:themeColor="text1"/>
          <w:sz w:val="24"/>
          <w:szCs w:val="24"/>
          <w:lang w:bidi="th-TH"/>
          <w14:textFill>
            <w14:solidFill>
              <w14:schemeClr w14:val="tx1"/>
            </w14:solidFill>
          </w14:textFill>
        </w:rPr>
      </w:pPr>
      <w:r>
        <w:rPr>
          <w:rFonts w:hint="eastAsia" w:ascii="宋体" w:cs="Angsana New"/>
          <w:color w:val="000000" w:themeColor="text1"/>
          <w:sz w:val="24"/>
          <w:szCs w:val="24"/>
          <w:lang w:bidi="th-TH"/>
          <w14:textFill>
            <w14:solidFill>
              <w14:schemeClr w14:val="tx1"/>
            </w14:solidFill>
          </w14:textFill>
        </w:rPr>
        <w:t>学生在学校规定年限内，学完规定的教学内容，完成专业人才培养方案所规定的学时、学分，达到“德、智、体、美、劳”培养要求，学分修满14</w:t>
      </w:r>
      <w:r>
        <w:rPr>
          <w:rFonts w:hint="eastAsia" w:ascii="宋体" w:cs="Angsana New"/>
          <w:color w:val="000000" w:themeColor="text1"/>
          <w:sz w:val="24"/>
          <w:szCs w:val="24"/>
          <w:lang w:val="en-US" w:eastAsia="zh-CN" w:bidi="th-TH"/>
          <w14:textFill>
            <w14:solidFill>
              <w14:schemeClr w14:val="tx1"/>
            </w14:solidFill>
          </w14:textFill>
        </w:rPr>
        <w:t>1</w:t>
      </w:r>
      <w:r>
        <w:rPr>
          <w:rFonts w:hint="eastAsia" w:ascii="宋体" w:cs="Angsana New"/>
          <w:color w:val="000000" w:themeColor="text1"/>
          <w:sz w:val="24"/>
          <w:szCs w:val="24"/>
          <w:lang w:bidi="th-TH"/>
          <w14:textFill>
            <w14:solidFill>
              <w14:schemeClr w14:val="tx1"/>
            </w14:solidFill>
          </w14:textFill>
        </w:rPr>
        <w:t>学分，公共基础课程学分不低于5</w:t>
      </w:r>
      <w:r>
        <w:rPr>
          <w:rFonts w:hint="eastAsia" w:ascii="宋体" w:cs="Angsana New"/>
          <w:color w:val="000000" w:themeColor="text1"/>
          <w:sz w:val="24"/>
          <w:szCs w:val="24"/>
          <w:lang w:val="en-US" w:eastAsia="zh-CN" w:bidi="th-TH"/>
          <w14:textFill>
            <w14:solidFill>
              <w14:schemeClr w14:val="tx1"/>
            </w14:solidFill>
          </w14:textFill>
        </w:rPr>
        <w:t>5</w:t>
      </w:r>
      <w:r>
        <w:rPr>
          <w:rFonts w:hint="eastAsia" w:ascii="宋体" w:cs="Angsana New"/>
          <w:color w:val="000000" w:themeColor="text1"/>
          <w:sz w:val="24"/>
          <w:szCs w:val="24"/>
          <w:lang w:bidi="th-TH"/>
          <w14:textFill>
            <w14:solidFill>
              <w14:schemeClr w14:val="tx1"/>
            </w14:solidFill>
          </w14:textFill>
        </w:rPr>
        <w:t>学分，其中文化素养课程学分不低于4</w:t>
      </w:r>
      <w:r>
        <w:rPr>
          <w:rFonts w:hint="eastAsia" w:ascii="宋体" w:cs="Angsana New"/>
          <w:color w:val="000000" w:themeColor="text1"/>
          <w:sz w:val="24"/>
          <w:szCs w:val="24"/>
          <w:lang w:val="en-US" w:eastAsia="zh-CN" w:bidi="th-TH"/>
          <w14:textFill>
            <w14:solidFill>
              <w14:schemeClr w14:val="tx1"/>
            </w14:solidFill>
          </w14:textFill>
        </w:rPr>
        <w:t>7</w:t>
      </w:r>
      <w:r>
        <w:rPr>
          <w:rFonts w:hint="eastAsia" w:ascii="宋体" w:cs="Angsana New"/>
          <w:color w:val="000000" w:themeColor="text1"/>
          <w:sz w:val="24"/>
          <w:szCs w:val="24"/>
          <w:lang w:bidi="th-TH"/>
          <w14:textFill>
            <w14:solidFill>
              <w14:schemeClr w14:val="tx1"/>
            </w14:solidFill>
          </w14:textFill>
        </w:rPr>
        <w:t>学分；专业（技能）课程学分不低于86学分，其中专业拓展选修课程学分不低于10学分，准予毕业。</w:t>
      </w:r>
    </w:p>
    <w:p>
      <w:pPr>
        <w:spacing w:before="156" w:beforeLines="50" w:after="156" w:afterLines="50"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val="en-US" w:eastAsia="zh-CN" w:bidi="th-TH"/>
        </w:rPr>
        <w:t>八</w:t>
      </w:r>
      <w:r>
        <w:rPr>
          <w:rFonts w:hint="eastAsia" w:ascii="黑体" w:hAnsi="黑体" w:eastAsia="黑体" w:cs="Angsana New"/>
          <w:bCs/>
          <w:sz w:val="28"/>
          <w:szCs w:val="28"/>
          <w:lang w:bidi="th-TH"/>
        </w:rPr>
        <w:t>、教学基本条件</w:t>
      </w:r>
    </w:p>
    <w:p>
      <w:pPr>
        <w:adjustRightInd w:val="0"/>
        <w:snapToGrid w:val="0"/>
        <w:spacing w:line="360" w:lineRule="auto"/>
        <w:ind w:firstLine="480" w:firstLineChars="200"/>
        <w:outlineLvl w:val="1"/>
        <w:rPr>
          <w:rFonts w:ascii="宋体" w:cs="Angsana New"/>
          <w:b/>
          <w:sz w:val="24"/>
          <w:szCs w:val="24"/>
          <w:lang w:bidi="th-TH"/>
        </w:rPr>
      </w:pPr>
      <w:r>
        <w:rPr>
          <w:rFonts w:hint="eastAsia" w:ascii="宋体" w:hAnsi="宋体" w:cs="Angsana New"/>
          <w:b/>
          <w:sz w:val="24"/>
          <w:szCs w:val="24"/>
          <w:lang w:bidi="th-TH"/>
        </w:rPr>
        <w:t>（一）师资队伍</w:t>
      </w:r>
    </w:p>
    <w:p>
      <w:pPr>
        <w:spacing w:line="360" w:lineRule="auto"/>
        <w:ind w:left="480"/>
        <w:rPr>
          <w:rFonts w:asciiTheme="minorEastAsia" w:hAnsiTheme="minorEastAsia" w:eastAsiaTheme="minorEastAsia"/>
          <w:sz w:val="24"/>
          <w:szCs w:val="24"/>
        </w:rPr>
      </w:pPr>
      <w:r>
        <w:rPr>
          <w:rFonts w:hint="eastAsia" w:asciiTheme="minorEastAsia" w:hAnsiTheme="minorEastAsia" w:eastAsiaTheme="minorEastAsia"/>
          <w:sz w:val="24"/>
          <w:szCs w:val="24"/>
        </w:rPr>
        <w:t>1.队伍结构</w:t>
      </w:r>
    </w:p>
    <w:p>
      <w:pPr>
        <w:spacing w:line="360" w:lineRule="auto"/>
        <w:ind w:firstLine="48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按照“四有好老师”“四个相统一”“四个引路人”的要求建设专业教师队伍，将师德师风作为教师队伍建设的第一标准。</w:t>
      </w:r>
    </w:p>
    <w:p>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本专业学生数与本专业专任教师数比例</w:t>
      </w:r>
      <w:r>
        <w:rPr>
          <w:rFonts w:hint="eastAsia" w:asciiTheme="minorEastAsia" w:hAnsiTheme="minorEastAsia" w:eastAsiaTheme="minorEastAsia"/>
          <w:sz w:val="24"/>
          <w:szCs w:val="24"/>
          <w:lang w:val="en-US" w:eastAsia="zh-CN"/>
        </w:rPr>
        <w:t>25</w:t>
      </w:r>
      <w:r>
        <w:rPr>
          <w:rFonts w:asciiTheme="minorEastAsia" w:hAnsiTheme="minorEastAsia" w:eastAsiaTheme="minorEastAsia"/>
          <w:sz w:val="24"/>
          <w:szCs w:val="24"/>
        </w:rPr>
        <w:t>：</w:t>
      </w:r>
      <w:r>
        <w:rPr>
          <w:rFonts w:hint="eastAsia" w:asciiTheme="minorEastAsia" w:hAnsiTheme="minorEastAsia" w:eastAsiaTheme="minorEastAsia"/>
          <w:sz w:val="24"/>
          <w:szCs w:val="24"/>
        </w:rPr>
        <w:t>1，双师素质教师占专业教师比例为</w:t>
      </w:r>
      <w:r>
        <w:rPr>
          <w:rFonts w:ascii="宋体" w:hAnsi="宋体" w:cs="Angsana New"/>
          <w:color w:val="000000" w:themeColor="text1"/>
          <w:sz w:val="24"/>
          <w:szCs w:val="24"/>
          <w:lang w:bidi="th-TH"/>
          <w14:textFill>
            <w14:solidFill>
              <w14:schemeClr w14:val="tx1"/>
            </w14:solidFill>
          </w14:textFill>
        </w:rPr>
        <w:t>66.67%</w:t>
      </w:r>
      <w:r>
        <w:rPr>
          <w:rFonts w:hint="eastAsia" w:ascii="宋体" w:hAnsi="宋体" w:cs="Angsana New"/>
          <w:color w:val="000000" w:themeColor="text1"/>
          <w:sz w:val="24"/>
          <w:szCs w:val="24"/>
          <w:lang w:bidi="th-TH"/>
          <w14:textFill>
            <w14:solidFill>
              <w14:schemeClr w14:val="tx1"/>
            </w14:solidFill>
          </w14:textFill>
        </w:rPr>
        <w:t>，</w:t>
      </w:r>
      <w:r>
        <w:rPr>
          <w:rFonts w:hint="eastAsia" w:asciiTheme="minorEastAsia" w:hAnsiTheme="minorEastAsia" w:eastAsiaTheme="minorEastAsia"/>
          <w:sz w:val="24"/>
          <w:szCs w:val="24"/>
        </w:rPr>
        <w:t>专任教师队伍职称、年龄，形成合理的梯队结构。</w:t>
      </w:r>
    </w:p>
    <w:p>
      <w:pPr>
        <w:spacing w:line="360" w:lineRule="auto"/>
        <w:ind w:firstLine="480"/>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本专业研究生以上学历教师比例</w:t>
      </w:r>
      <w:r>
        <w:rPr>
          <w:rFonts w:asciiTheme="minorEastAsia" w:hAnsiTheme="minorEastAsia" w:eastAsiaTheme="minorEastAsia"/>
          <w:color w:val="000000" w:themeColor="text1"/>
          <w:sz w:val="24"/>
          <w:szCs w:val="24"/>
          <w14:textFill>
            <w14:solidFill>
              <w14:schemeClr w14:val="tx1"/>
            </w14:solidFill>
          </w14:textFill>
        </w:rPr>
        <w:t>66.67%</w:t>
      </w:r>
      <w:r>
        <w:rPr>
          <w:rFonts w:hint="eastAsia" w:asciiTheme="minorEastAsia" w:hAnsiTheme="minorEastAsia" w:eastAsiaTheme="minorEastAsia"/>
          <w:color w:val="000000" w:themeColor="text1"/>
          <w:sz w:val="24"/>
          <w:szCs w:val="24"/>
          <w14:textFill>
            <w14:solidFill>
              <w14:schemeClr w14:val="tx1"/>
            </w14:solidFill>
          </w14:textFill>
        </w:rPr>
        <w:t>、高级职称教师比例</w:t>
      </w:r>
      <w:r>
        <w:rPr>
          <w:rFonts w:asciiTheme="minorEastAsia" w:hAnsiTheme="minorEastAsia" w:eastAsiaTheme="minorEastAsia"/>
          <w:color w:val="000000" w:themeColor="text1"/>
          <w:sz w:val="24"/>
          <w:szCs w:val="24"/>
          <w14:textFill>
            <w14:solidFill>
              <w14:schemeClr w14:val="tx1"/>
            </w14:solidFill>
          </w14:textFill>
        </w:rPr>
        <w:t>33.33%</w:t>
      </w:r>
      <w:r>
        <w:rPr>
          <w:rFonts w:hint="eastAsia" w:asciiTheme="minorEastAsia" w:hAnsiTheme="minorEastAsia" w:eastAsiaTheme="minorEastAsia"/>
          <w:color w:val="000000" w:themeColor="text1"/>
          <w:sz w:val="24"/>
          <w:szCs w:val="24"/>
          <w14:textFill>
            <w14:solidFill>
              <w14:schemeClr w14:val="tx1"/>
            </w14:solidFill>
          </w14:textFill>
        </w:rPr>
        <w:t>、中级职称教师比例</w:t>
      </w:r>
      <w:r>
        <w:rPr>
          <w:rFonts w:asciiTheme="minorEastAsia" w:hAnsiTheme="minorEastAsia" w:eastAsiaTheme="minorEastAsia"/>
          <w:color w:val="000000" w:themeColor="text1"/>
          <w:sz w:val="24"/>
          <w:szCs w:val="24"/>
          <w14:textFill>
            <w14:solidFill>
              <w14:schemeClr w14:val="tx1"/>
            </w14:solidFill>
          </w14:textFill>
        </w:rPr>
        <w:t>33.33%</w:t>
      </w:r>
      <w:r>
        <w:rPr>
          <w:rFonts w:hint="eastAsia" w:asciiTheme="minorEastAsia" w:hAnsiTheme="minorEastAsia" w:eastAsiaTheme="minorEastAsia"/>
          <w:color w:val="000000" w:themeColor="text1"/>
          <w:sz w:val="24"/>
          <w:szCs w:val="24"/>
          <w14:textFill>
            <w14:solidFill>
              <w14:schemeClr w14:val="tx1"/>
            </w14:solidFill>
          </w14:textFill>
        </w:rPr>
        <w:t>、兼职教师</w:t>
      </w:r>
      <w:r>
        <w:rPr>
          <w:rFonts w:asciiTheme="minorEastAsia" w:hAnsiTheme="minorEastAsia" w:eastAsiaTheme="minorEastAsia"/>
          <w:color w:val="000000" w:themeColor="text1"/>
          <w:sz w:val="24"/>
          <w:szCs w:val="24"/>
          <w14:textFill>
            <w14:solidFill>
              <w14:schemeClr w14:val="tx1"/>
            </w14:solidFill>
          </w14:textFill>
        </w:rPr>
        <w:t>4人</w:t>
      </w:r>
      <w:r>
        <w:rPr>
          <w:rFonts w:hint="eastAsia"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2.专业带头人要求</w:t>
      </w:r>
    </w:p>
    <w:p>
      <w:pPr>
        <w:spacing w:line="360" w:lineRule="auto"/>
        <w:ind w:firstLine="480"/>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专业带头人应具有副高及以上职称，能够较好地把握国内外行业、专业发展，能广泛联系行业企业，了解行业企业对本专业人才的需求实际，教学设计、专业研究能力强，组织开展教科研工作能力强，在本区域或本领域具有一定的专业影响力。</w:t>
      </w:r>
    </w:p>
    <w:p>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3.专任教师要求</w:t>
      </w:r>
    </w:p>
    <w:p>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专任教师应具有高校教师资格；有理想信念、有道德情操、有扎实学识、有仁爱之心；具有</w:t>
      </w:r>
      <w:r>
        <w:rPr>
          <w:rFonts w:hint="eastAsia" w:asciiTheme="minorEastAsia" w:hAnsiTheme="minorEastAsia" w:eastAsiaTheme="minorEastAsia"/>
          <w:color w:val="000000" w:themeColor="text1"/>
          <w:sz w:val="24"/>
          <w:szCs w:val="24"/>
          <w14:textFill>
            <w14:solidFill>
              <w14:schemeClr w14:val="tx1"/>
            </w14:solidFill>
          </w14:textFill>
        </w:rPr>
        <w:t>信息类相</w:t>
      </w:r>
      <w:r>
        <w:rPr>
          <w:rFonts w:hint="eastAsia" w:asciiTheme="minorEastAsia" w:hAnsiTheme="minorEastAsia" w:eastAsiaTheme="minorEastAsia"/>
          <w:sz w:val="24"/>
          <w:szCs w:val="24"/>
        </w:rPr>
        <w:t>关专业本科及以上学历；具有扎实的本专业相关理论功底和实践能力；具有较强信息化教学能力，能够开展课程教学改革和科学研究；有每5年累计不少于6个月的企业实践经历。</w:t>
      </w:r>
    </w:p>
    <w:p>
      <w:pPr>
        <w:spacing w:line="360" w:lineRule="auto"/>
        <w:ind w:firstLine="480"/>
      </w:pPr>
      <w:r>
        <w:rPr>
          <w:rFonts w:hint="eastAsia" w:asciiTheme="minorEastAsia" w:hAnsiTheme="minorEastAsia" w:eastAsiaTheme="minorEastAsia"/>
          <w:sz w:val="24"/>
          <w:szCs w:val="24"/>
        </w:rPr>
        <w:t>本专业专任教师6人、双师型教师</w:t>
      </w:r>
      <w:r>
        <w:rPr>
          <w:rFonts w:asciiTheme="minorEastAsia" w:hAnsiTheme="minorEastAsia" w:eastAsiaTheme="minorEastAsia"/>
          <w:sz w:val="24"/>
          <w:szCs w:val="24"/>
        </w:rPr>
        <w:t>4</w:t>
      </w:r>
      <w:r>
        <w:rPr>
          <w:rFonts w:hint="eastAsia" w:asciiTheme="minorEastAsia" w:hAnsiTheme="minorEastAsia" w:eastAsiaTheme="minorEastAsia"/>
          <w:sz w:val="24"/>
          <w:szCs w:val="24"/>
        </w:rPr>
        <w:t>人、教师每年企业锻炼不少于</w:t>
      </w:r>
      <w:r>
        <w:rPr>
          <w:rFonts w:asciiTheme="minorEastAsia" w:hAnsiTheme="minorEastAsia" w:eastAsiaTheme="minorEastAsia"/>
          <w:sz w:val="24"/>
          <w:szCs w:val="24"/>
        </w:rPr>
        <w:t>1</w:t>
      </w:r>
      <w:r>
        <w:rPr>
          <w:rFonts w:hint="eastAsia" w:asciiTheme="minorEastAsia" w:hAnsiTheme="minorEastAsia" w:eastAsiaTheme="minorEastAsia"/>
          <w:sz w:val="24"/>
          <w:szCs w:val="24"/>
        </w:rPr>
        <w:t>个月。</w:t>
      </w:r>
    </w:p>
    <w:p>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4.兼职教师要求</w:t>
      </w:r>
    </w:p>
    <w:p>
      <w:pPr>
        <w:spacing w:line="360" w:lineRule="auto"/>
        <w:ind w:firstLine="480"/>
        <w:rPr>
          <w:rFonts w:asciiTheme="minorEastAsia" w:hAnsiTheme="minorEastAsia" w:eastAsiaTheme="minorEastAsia"/>
          <w:sz w:val="24"/>
          <w:szCs w:val="24"/>
        </w:rPr>
      </w:pPr>
      <w:r>
        <w:rPr>
          <w:rFonts w:hint="eastAsia" w:ascii="宋体" w:cs="Angsana New"/>
          <w:sz w:val="24"/>
          <w:szCs w:val="24"/>
          <w:lang w:bidi="th-TH"/>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pPr>
        <w:spacing w:line="360" w:lineRule="auto"/>
        <w:ind w:firstLine="48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（二）教学设施</w:t>
      </w:r>
    </w:p>
    <w:p>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主要包括多媒体教室、机房和实训室。本专业</w:t>
      </w:r>
      <w:r>
        <w:rPr>
          <w:rFonts w:asciiTheme="minorEastAsia" w:hAnsiTheme="minorEastAsia" w:eastAsiaTheme="minorEastAsia"/>
          <w:sz w:val="24"/>
          <w:szCs w:val="24"/>
        </w:rPr>
        <w:t>多媒体教室5间，机房</w:t>
      </w:r>
      <w:r>
        <w:rPr>
          <w:rFonts w:hint="eastAsia" w:asciiTheme="minorEastAsia" w:hAnsiTheme="minorEastAsia" w:eastAsiaTheme="minorEastAsia"/>
          <w:sz w:val="24"/>
          <w:szCs w:val="24"/>
        </w:rPr>
        <w:t>1间；校内实训基地数</w:t>
      </w:r>
      <w:r>
        <w:rPr>
          <w:rFonts w:asciiTheme="minorEastAsia" w:hAnsiTheme="minorEastAsia" w:eastAsiaTheme="minorEastAsia"/>
          <w:sz w:val="24"/>
          <w:szCs w:val="24"/>
        </w:rPr>
        <w:t>3</w:t>
      </w:r>
      <w:r>
        <w:rPr>
          <w:rFonts w:hint="eastAsia" w:asciiTheme="minorEastAsia" w:hAnsiTheme="minorEastAsia" w:eastAsiaTheme="minorEastAsia"/>
          <w:sz w:val="24"/>
          <w:szCs w:val="24"/>
        </w:rPr>
        <w:t>个、校内实训工位数</w:t>
      </w:r>
      <w:r>
        <w:rPr>
          <w:rFonts w:asciiTheme="minorEastAsia" w:hAnsiTheme="minorEastAsia" w:eastAsiaTheme="minorEastAsia"/>
          <w:sz w:val="24"/>
          <w:szCs w:val="24"/>
        </w:rPr>
        <w:t>120</w:t>
      </w:r>
      <w:r>
        <w:rPr>
          <w:rFonts w:hint="eastAsia" w:asciiTheme="minorEastAsia" w:hAnsiTheme="minorEastAsia" w:eastAsiaTheme="minorEastAsia"/>
          <w:sz w:val="24"/>
          <w:szCs w:val="24"/>
        </w:rPr>
        <w:t>个；校外实训基地数</w:t>
      </w:r>
      <w:r>
        <w:rPr>
          <w:rFonts w:asciiTheme="minorEastAsia" w:hAnsiTheme="minorEastAsia" w:eastAsiaTheme="minorEastAsia"/>
          <w:sz w:val="24"/>
          <w:szCs w:val="24"/>
        </w:rPr>
        <w:t>3</w:t>
      </w:r>
      <w:r>
        <w:rPr>
          <w:rFonts w:hint="eastAsia" w:asciiTheme="minorEastAsia" w:hAnsiTheme="minorEastAsia" w:eastAsiaTheme="minorEastAsia"/>
          <w:sz w:val="24"/>
          <w:szCs w:val="24"/>
        </w:rPr>
        <w:t>个。</w:t>
      </w:r>
    </w:p>
    <w:p>
      <w:pPr>
        <w:spacing w:line="360" w:lineRule="auto"/>
        <w:ind w:firstLine="480"/>
        <w:rPr>
          <w:rFonts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校内实训室（基地）基本条件</w:t>
      </w:r>
    </w:p>
    <w:p>
      <w:pPr>
        <w:adjustRightInd w:val="0"/>
        <w:snapToGrid w:val="0"/>
        <w:spacing w:line="360" w:lineRule="auto"/>
        <w:jc w:val="center"/>
        <w:rPr>
          <w:rFonts w:ascii="宋体" w:cs="Angsana New"/>
          <w:b/>
          <w:szCs w:val="21"/>
          <w:lang w:bidi="th-TH"/>
        </w:rPr>
      </w:pPr>
      <w:r>
        <w:rPr>
          <w:rFonts w:hint="eastAsia" w:ascii="宋体" w:hAnsi="宋体" w:cs="Angsana New"/>
          <w:b/>
          <w:szCs w:val="21"/>
          <w:lang w:bidi="th-TH"/>
        </w:rPr>
        <w:t>表</w:t>
      </w:r>
      <w:r>
        <w:rPr>
          <w:rFonts w:ascii="宋体" w:hAnsi="宋体" w:cs="Angsana New"/>
          <w:b/>
          <w:szCs w:val="21"/>
          <w:lang w:bidi="th-TH"/>
        </w:rPr>
        <w:t xml:space="preserve">8  </w:t>
      </w:r>
      <w:r>
        <w:rPr>
          <w:rFonts w:hint="eastAsia" w:ascii="宋体" w:hAnsi="宋体" w:cs="Angsana New"/>
          <w:b/>
          <w:szCs w:val="21"/>
          <w:lang w:bidi="th-TH"/>
        </w:rPr>
        <w:t>校内实训室（基地）</w:t>
      </w:r>
    </w:p>
    <w:tbl>
      <w:tblPr>
        <w:tblStyle w:val="12"/>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
        <w:gridCol w:w="2625"/>
        <w:gridCol w:w="918"/>
        <w:gridCol w:w="2268"/>
        <w:gridCol w:w="2441"/>
      </w:tblGrid>
      <w:tr>
        <w:trPr>
          <w:trHeight w:val="567" w:hRule="atLeast"/>
          <w:jc w:val="center"/>
        </w:trPr>
        <w:tc>
          <w:tcPr>
            <w:tcW w:w="601" w:type="dxa"/>
            <w:vAlign w:val="center"/>
          </w:tcPr>
          <w:p>
            <w:pPr>
              <w:adjustRightInd w:val="0"/>
              <w:snapToGrid w:val="0"/>
              <w:jc w:val="center"/>
              <w:rPr>
                <w:rFonts w:ascii="宋体"/>
                <w:szCs w:val="21"/>
              </w:rPr>
            </w:pPr>
            <w:r>
              <w:rPr>
                <w:rFonts w:hint="eastAsia" w:ascii="宋体" w:hAnsi="宋体"/>
                <w:szCs w:val="21"/>
              </w:rPr>
              <w:t>序号</w:t>
            </w:r>
          </w:p>
        </w:tc>
        <w:tc>
          <w:tcPr>
            <w:tcW w:w="2625" w:type="dxa"/>
            <w:vAlign w:val="center"/>
          </w:tcPr>
          <w:p>
            <w:pPr>
              <w:adjustRightInd w:val="0"/>
              <w:snapToGrid w:val="0"/>
              <w:jc w:val="center"/>
              <w:rPr>
                <w:rFonts w:ascii="宋体"/>
                <w:szCs w:val="21"/>
              </w:rPr>
            </w:pPr>
            <w:r>
              <w:rPr>
                <w:rFonts w:hint="eastAsia" w:ascii="宋体" w:hAnsi="宋体"/>
                <w:szCs w:val="21"/>
              </w:rPr>
              <w:t>实训室（基地）名称</w:t>
            </w:r>
          </w:p>
        </w:tc>
        <w:tc>
          <w:tcPr>
            <w:tcW w:w="918" w:type="dxa"/>
            <w:vAlign w:val="center"/>
          </w:tcPr>
          <w:p>
            <w:pPr>
              <w:adjustRightInd w:val="0"/>
              <w:snapToGrid w:val="0"/>
              <w:jc w:val="center"/>
              <w:rPr>
                <w:rFonts w:ascii="宋体"/>
                <w:szCs w:val="21"/>
              </w:rPr>
            </w:pPr>
            <w:r>
              <w:rPr>
                <w:rFonts w:hint="eastAsia" w:ascii="宋体" w:hAnsi="宋体"/>
                <w:szCs w:val="21"/>
              </w:rPr>
              <w:t>工位数</w:t>
            </w:r>
          </w:p>
        </w:tc>
        <w:tc>
          <w:tcPr>
            <w:tcW w:w="2268" w:type="dxa"/>
            <w:vAlign w:val="center"/>
          </w:tcPr>
          <w:p>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2441" w:type="dxa"/>
            <w:vAlign w:val="center"/>
          </w:tcPr>
          <w:p>
            <w:pPr>
              <w:adjustRightInd w:val="0"/>
              <w:snapToGrid w:val="0"/>
              <w:jc w:val="center"/>
              <w:rPr>
                <w:rFonts w:ascii="宋体"/>
                <w:szCs w:val="21"/>
              </w:rPr>
            </w:pPr>
            <w:r>
              <w:rPr>
                <w:rFonts w:hint="eastAsia" w:ascii="宋体" w:hAnsi="宋体"/>
                <w:szCs w:val="21"/>
              </w:rPr>
              <w:t>实训内容</w:t>
            </w:r>
          </w:p>
        </w:tc>
      </w:tr>
      <w:tr>
        <w:trPr>
          <w:trHeight w:val="454" w:hRule="atLeast"/>
          <w:jc w:val="center"/>
        </w:trPr>
        <w:tc>
          <w:tcPr>
            <w:tcW w:w="601" w:type="dxa"/>
            <w:vAlign w:val="center"/>
          </w:tcPr>
          <w:p>
            <w:pPr>
              <w:adjustRightInd w:val="0"/>
              <w:snapToGrid w:val="0"/>
              <w:jc w:val="center"/>
              <w:rPr>
                <w:rFonts w:ascii="宋体"/>
                <w:szCs w:val="21"/>
              </w:rPr>
            </w:pPr>
            <w:r>
              <w:rPr>
                <w:rFonts w:hint="eastAsia" w:ascii="宋体"/>
                <w:szCs w:val="21"/>
              </w:rPr>
              <w:t>1</w:t>
            </w:r>
          </w:p>
        </w:tc>
        <w:tc>
          <w:tcPr>
            <w:tcW w:w="2625" w:type="dxa"/>
            <w:vAlign w:val="center"/>
          </w:tcPr>
          <w:p>
            <w:pPr>
              <w:adjustRightInd w:val="0"/>
              <w:snapToGrid w:val="0"/>
              <w:jc w:val="center"/>
              <w:rPr>
                <w:rFonts w:ascii="宋体"/>
                <w:szCs w:val="21"/>
              </w:rPr>
            </w:pPr>
            <w:r>
              <w:rPr>
                <w:rFonts w:ascii="宋体"/>
                <w:szCs w:val="21"/>
              </w:rPr>
              <w:t>移动通信实训室</w:t>
            </w:r>
          </w:p>
        </w:tc>
        <w:tc>
          <w:tcPr>
            <w:tcW w:w="918" w:type="dxa"/>
            <w:vAlign w:val="center"/>
          </w:tcPr>
          <w:p>
            <w:pPr>
              <w:adjustRightInd w:val="0"/>
              <w:snapToGrid w:val="0"/>
              <w:jc w:val="center"/>
              <w:rPr>
                <w:rFonts w:ascii="宋体"/>
                <w:szCs w:val="21"/>
              </w:rPr>
            </w:pPr>
            <w:r>
              <w:rPr>
                <w:rFonts w:ascii="宋体"/>
                <w:szCs w:val="21"/>
              </w:rPr>
              <w:t>40</w:t>
            </w:r>
          </w:p>
        </w:tc>
        <w:tc>
          <w:tcPr>
            <w:tcW w:w="2268" w:type="dxa"/>
            <w:vAlign w:val="center"/>
          </w:tcPr>
          <w:p>
            <w:pPr>
              <w:adjustRightInd w:val="0"/>
              <w:snapToGrid w:val="0"/>
              <w:rPr>
                <w:rFonts w:ascii="宋体"/>
                <w:szCs w:val="21"/>
              </w:rPr>
            </w:pPr>
            <w:r>
              <w:rPr>
                <w:rFonts w:hint="eastAsia" w:ascii="宋体"/>
                <w:szCs w:val="21"/>
              </w:rPr>
              <w:t>《现代移动通信技术》</w:t>
            </w:r>
          </w:p>
          <w:p>
            <w:pPr>
              <w:adjustRightInd w:val="0"/>
              <w:snapToGrid w:val="0"/>
              <w:rPr>
                <w:rFonts w:ascii="宋体"/>
                <w:szCs w:val="21"/>
              </w:rPr>
            </w:pPr>
            <w:r>
              <w:rPr>
                <w:rFonts w:hint="eastAsia" w:ascii="宋体"/>
                <w:szCs w:val="21"/>
              </w:rPr>
              <w:t>《5G</w:t>
            </w:r>
            <w:r>
              <w:rPr>
                <w:rFonts w:ascii="宋体"/>
                <w:szCs w:val="21"/>
              </w:rPr>
              <w:t>通信技术</w:t>
            </w:r>
            <w:r>
              <w:rPr>
                <w:rFonts w:hint="eastAsia" w:ascii="宋体"/>
                <w:szCs w:val="21"/>
              </w:rPr>
              <w:t>》</w:t>
            </w:r>
          </w:p>
        </w:tc>
        <w:tc>
          <w:tcPr>
            <w:tcW w:w="2441" w:type="dxa"/>
            <w:vAlign w:val="center"/>
          </w:tcPr>
          <w:p>
            <w:pPr>
              <w:adjustRightInd w:val="0"/>
              <w:snapToGrid w:val="0"/>
              <w:rPr>
                <w:rFonts w:ascii="宋体"/>
                <w:szCs w:val="21"/>
              </w:rPr>
            </w:pPr>
            <w:r>
              <w:rPr>
                <w:rFonts w:ascii="宋体"/>
                <w:szCs w:val="21"/>
              </w:rPr>
              <w:t>移动通信系统</w:t>
            </w:r>
            <w:r>
              <w:rPr>
                <w:rFonts w:hint="eastAsia" w:ascii="宋体"/>
                <w:szCs w:val="21"/>
              </w:rPr>
              <w:t>认知</w:t>
            </w:r>
          </w:p>
        </w:tc>
      </w:tr>
      <w:tr>
        <w:trPr>
          <w:trHeight w:val="454" w:hRule="atLeast"/>
          <w:jc w:val="center"/>
        </w:trPr>
        <w:tc>
          <w:tcPr>
            <w:tcW w:w="601" w:type="dxa"/>
            <w:vAlign w:val="center"/>
          </w:tcPr>
          <w:p>
            <w:pPr>
              <w:adjustRightInd w:val="0"/>
              <w:snapToGrid w:val="0"/>
              <w:jc w:val="center"/>
              <w:rPr>
                <w:rFonts w:ascii="宋体"/>
                <w:szCs w:val="21"/>
              </w:rPr>
            </w:pPr>
            <w:r>
              <w:rPr>
                <w:rFonts w:hint="eastAsia" w:ascii="宋体"/>
                <w:szCs w:val="21"/>
              </w:rPr>
              <w:t>2</w:t>
            </w:r>
          </w:p>
        </w:tc>
        <w:tc>
          <w:tcPr>
            <w:tcW w:w="2625" w:type="dxa"/>
            <w:vAlign w:val="center"/>
          </w:tcPr>
          <w:p>
            <w:pPr>
              <w:adjustRightInd w:val="0"/>
              <w:snapToGrid w:val="0"/>
              <w:jc w:val="center"/>
              <w:rPr>
                <w:rFonts w:ascii="宋体"/>
                <w:szCs w:val="21"/>
              </w:rPr>
            </w:pPr>
            <w:r>
              <w:rPr>
                <w:rFonts w:ascii="宋体"/>
                <w:szCs w:val="21"/>
              </w:rPr>
              <w:t>光纤通信实训室</w:t>
            </w:r>
          </w:p>
        </w:tc>
        <w:tc>
          <w:tcPr>
            <w:tcW w:w="918" w:type="dxa"/>
            <w:vAlign w:val="center"/>
          </w:tcPr>
          <w:p>
            <w:pPr>
              <w:adjustRightInd w:val="0"/>
              <w:snapToGrid w:val="0"/>
              <w:jc w:val="center"/>
              <w:rPr>
                <w:rFonts w:ascii="宋体"/>
                <w:szCs w:val="21"/>
              </w:rPr>
            </w:pPr>
            <w:r>
              <w:rPr>
                <w:rFonts w:ascii="宋体"/>
                <w:szCs w:val="21"/>
              </w:rPr>
              <w:t>40</w:t>
            </w:r>
          </w:p>
        </w:tc>
        <w:tc>
          <w:tcPr>
            <w:tcW w:w="2268" w:type="dxa"/>
            <w:vAlign w:val="center"/>
          </w:tcPr>
          <w:p>
            <w:pPr>
              <w:adjustRightInd w:val="0"/>
              <w:snapToGrid w:val="0"/>
              <w:rPr>
                <w:rFonts w:ascii="宋体"/>
                <w:szCs w:val="21"/>
              </w:rPr>
            </w:pPr>
            <w:r>
              <w:rPr>
                <w:rFonts w:hint="eastAsia" w:ascii="宋体"/>
                <w:szCs w:val="21"/>
              </w:rPr>
              <w:t>《</w:t>
            </w:r>
            <w:r>
              <w:rPr>
                <w:rFonts w:ascii="宋体"/>
                <w:szCs w:val="21"/>
              </w:rPr>
              <w:t>光通信技术</w:t>
            </w:r>
            <w:r>
              <w:rPr>
                <w:rFonts w:hint="eastAsia" w:ascii="宋体"/>
                <w:szCs w:val="21"/>
              </w:rPr>
              <w:t>》</w:t>
            </w:r>
          </w:p>
          <w:p>
            <w:pPr>
              <w:adjustRightInd w:val="0"/>
              <w:snapToGrid w:val="0"/>
              <w:rPr>
                <w:rFonts w:ascii="宋体"/>
                <w:szCs w:val="21"/>
              </w:rPr>
            </w:pPr>
            <w:r>
              <w:rPr>
                <w:rFonts w:hint="eastAsia" w:ascii="宋体"/>
                <w:szCs w:val="21"/>
              </w:rPr>
              <w:t>《</w:t>
            </w:r>
            <w:r>
              <w:rPr>
                <w:rFonts w:ascii="宋体"/>
                <w:szCs w:val="21"/>
              </w:rPr>
              <w:t>宽带接入技术</w:t>
            </w:r>
            <w:r>
              <w:rPr>
                <w:rFonts w:hint="eastAsia" w:ascii="宋体"/>
                <w:szCs w:val="21"/>
              </w:rPr>
              <w:t>》</w:t>
            </w:r>
          </w:p>
          <w:p>
            <w:pPr>
              <w:adjustRightInd w:val="0"/>
              <w:snapToGrid w:val="0"/>
              <w:rPr>
                <w:rFonts w:ascii="宋体"/>
                <w:szCs w:val="21"/>
              </w:rPr>
            </w:pPr>
            <w:r>
              <w:rPr>
                <w:rFonts w:hint="eastAsia" w:ascii="宋体"/>
                <w:szCs w:val="21"/>
              </w:rPr>
              <w:t>《数据通信技术》</w:t>
            </w:r>
          </w:p>
        </w:tc>
        <w:tc>
          <w:tcPr>
            <w:tcW w:w="2441" w:type="dxa"/>
            <w:vAlign w:val="center"/>
          </w:tcPr>
          <w:p>
            <w:pPr>
              <w:adjustRightInd w:val="0"/>
              <w:snapToGrid w:val="0"/>
              <w:rPr>
                <w:rFonts w:ascii="宋体"/>
                <w:szCs w:val="21"/>
              </w:rPr>
            </w:pPr>
            <w:r>
              <w:rPr>
                <w:rFonts w:ascii="宋体"/>
                <w:szCs w:val="21"/>
              </w:rPr>
              <w:t>光交接箱的使用；光纤、光端机维护</w:t>
            </w:r>
          </w:p>
        </w:tc>
      </w:tr>
      <w:tr>
        <w:trPr>
          <w:trHeight w:val="454" w:hRule="atLeast"/>
          <w:jc w:val="center"/>
        </w:trPr>
        <w:tc>
          <w:tcPr>
            <w:tcW w:w="601" w:type="dxa"/>
            <w:vAlign w:val="center"/>
          </w:tcPr>
          <w:p>
            <w:pPr>
              <w:adjustRightInd w:val="0"/>
              <w:snapToGrid w:val="0"/>
              <w:jc w:val="center"/>
              <w:rPr>
                <w:rFonts w:ascii="宋体"/>
                <w:szCs w:val="21"/>
              </w:rPr>
            </w:pPr>
            <w:r>
              <w:rPr>
                <w:rFonts w:hint="eastAsia" w:ascii="宋体"/>
                <w:szCs w:val="21"/>
              </w:rPr>
              <w:t>3</w:t>
            </w:r>
          </w:p>
        </w:tc>
        <w:tc>
          <w:tcPr>
            <w:tcW w:w="2625" w:type="dxa"/>
            <w:vAlign w:val="center"/>
          </w:tcPr>
          <w:p>
            <w:pPr>
              <w:adjustRightInd w:val="0"/>
              <w:snapToGrid w:val="0"/>
              <w:jc w:val="center"/>
              <w:rPr>
                <w:rFonts w:ascii="宋体"/>
                <w:szCs w:val="21"/>
              </w:rPr>
            </w:pPr>
            <w:r>
              <w:rPr>
                <w:rFonts w:ascii="宋体"/>
                <w:szCs w:val="21"/>
              </w:rPr>
              <w:t>通信综合实物实训室</w:t>
            </w:r>
          </w:p>
        </w:tc>
        <w:tc>
          <w:tcPr>
            <w:tcW w:w="918" w:type="dxa"/>
            <w:vAlign w:val="center"/>
          </w:tcPr>
          <w:p>
            <w:pPr>
              <w:adjustRightInd w:val="0"/>
              <w:snapToGrid w:val="0"/>
              <w:jc w:val="center"/>
              <w:rPr>
                <w:rFonts w:ascii="宋体"/>
                <w:szCs w:val="21"/>
              </w:rPr>
            </w:pPr>
            <w:r>
              <w:rPr>
                <w:rFonts w:hint="eastAsia" w:ascii="宋体"/>
                <w:szCs w:val="21"/>
              </w:rPr>
              <w:t>4</w:t>
            </w:r>
            <w:r>
              <w:rPr>
                <w:rFonts w:ascii="宋体"/>
                <w:szCs w:val="21"/>
              </w:rPr>
              <w:t>0</w:t>
            </w:r>
          </w:p>
        </w:tc>
        <w:tc>
          <w:tcPr>
            <w:tcW w:w="2268" w:type="dxa"/>
            <w:vAlign w:val="center"/>
          </w:tcPr>
          <w:p>
            <w:pPr>
              <w:adjustRightInd w:val="0"/>
              <w:snapToGrid w:val="0"/>
              <w:rPr>
                <w:rFonts w:ascii="宋体"/>
                <w:szCs w:val="21"/>
              </w:rPr>
            </w:pPr>
            <w:r>
              <w:rPr>
                <w:rFonts w:hint="eastAsia" w:ascii="宋体"/>
                <w:szCs w:val="21"/>
              </w:rPr>
              <w:t>《现代移动通信技术》《5G</w:t>
            </w:r>
            <w:r>
              <w:rPr>
                <w:rFonts w:ascii="宋体"/>
                <w:szCs w:val="21"/>
              </w:rPr>
              <w:t>通信技术</w:t>
            </w:r>
            <w:r>
              <w:rPr>
                <w:rFonts w:hint="eastAsia" w:ascii="宋体"/>
                <w:szCs w:val="21"/>
              </w:rPr>
              <w:t>》</w:t>
            </w:r>
          </w:p>
        </w:tc>
        <w:tc>
          <w:tcPr>
            <w:tcW w:w="2441" w:type="dxa"/>
            <w:vAlign w:val="center"/>
          </w:tcPr>
          <w:p>
            <w:pPr>
              <w:adjustRightInd w:val="0"/>
              <w:snapToGrid w:val="0"/>
              <w:rPr>
                <w:rFonts w:ascii="宋体"/>
                <w:szCs w:val="21"/>
              </w:rPr>
            </w:pPr>
            <w:r>
              <w:rPr>
                <w:rFonts w:ascii="宋体"/>
                <w:szCs w:val="21"/>
              </w:rPr>
              <w:t>天馈线、波导管认知；移动室外单元拆解；</w:t>
            </w:r>
          </w:p>
        </w:tc>
      </w:tr>
    </w:tbl>
    <w:p>
      <w:pPr>
        <w:spacing w:before="156" w:beforeLines="5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校外实训室（基地）基本要求</w:t>
      </w:r>
    </w:p>
    <w:p>
      <w:pPr>
        <w:adjustRightInd w:val="0"/>
        <w:snapToGrid w:val="0"/>
        <w:spacing w:line="360" w:lineRule="auto"/>
        <w:jc w:val="center"/>
        <w:rPr>
          <w:rFonts w:ascii="宋体" w:hAnsi="宋体" w:cs="Angsana New"/>
          <w:b/>
          <w:szCs w:val="21"/>
          <w:lang w:bidi="th-TH"/>
        </w:rPr>
      </w:pPr>
      <w:bookmarkStart w:id="2" w:name="_Hlk133049042"/>
      <w:r>
        <w:rPr>
          <w:rFonts w:hint="eastAsia" w:ascii="宋体" w:hAnsi="宋体" w:cs="Angsana New"/>
          <w:b/>
          <w:szCs w:val="21"/>
          <w:lang w:bidi="th-TH"/>
        </w:rPr>
        <w:t>表</w:t>
      </w:r>
      <w:r>
        <w:rPr>
          <w:rFonts w:ascii="宋体" w:hAnsi="宋体" w:cs="Angsana New"/>
          <w:b/>
          <w:szCs w:val="21"/>
          <w:lang w:bidi="th-TH"/>
        </w:rPr>
        <w:t xml:space="preserve">9  </w:t>
      </w:r>
      <w:r>
        <w:rPr>
          <w:rFonts w:hint="eastAsia" w:ascii="宋体" w:hAnsi="宋体" w:cs="Angsana New"/>
          <w:b/>
          <w:szCs w:val="21"/>
          <w:lang w:bidi="th-TH"/>
        </w:rPr>
        <w:t>校外实训室（基地）</w:t>
      </w:r>
    </w:p>
    <w:bookmarkEnd w:id="2"/>
    <w:tbl>
      <w:tblPr>
        <w:tblStyle w:val="12"/>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2468"/>
        <w:gridCol w:w="934"/>
        <w:gridCol w:w="2694"/>
        <w:gridCol w:w="2032"/>
      </w:tblGrid>
      <w:tr>
        <w:trPr>
          <w:trHeight w:val="567" w:hRule="atLeast"/>
          <w:jc w:val="center"/>
        </w:trPr>
        <w:tc>
          <w:tcPr>
            <w:tcW w:w="758" w:type="dxa"/>
            <w:vAlign w:val="center"/>
          </w:tcPr>
          <w:p>
            <w:pPr>
              <w:adjustRightInd w:val="0"/>
              <w:snapToGrid w:val="0"/>
              <w:jc w:val="center"/>
              <w:rPr>
                <w:rFonts w:ascii="宋体"/>
                <w:szCs w:val="21"/>
              </w:rPr>
            </w:pPr>
            <w:bookmarkStart w:id="3" w:name="_Hlk133049015"/>
            <w:r>
              <w:rPr>
                <w:rFonts w:hint="eastAsia" w:ascii="宋体" w:hAnsi="宋体"/>
                <w:szCs w:val="21"/>
              </w:rPr>
              <w:t>序号</w:t>
            </w:r>
          </w:p>
        </w:tc>
        <w:tc>
          <w:tcPr>
            <w:tcW w:w="2468" w:type="dxa"/>
            <w:vAlign w:val="center"/>
          </w:tcPr>
          <w:p>
            <w:pPr>
              <w:adjustRightInd w:val="0"/>
              <w:snapToGrid w:val="0"/>
              <w:jc w:val="center"/>
              <w:rPr>
                <w:rFonts w:ascii="宋体"/>
                <w:szCs w:val="21"/>
              </w:rPr>
            </w:pPr>
            <w:r>
              <w:rPr>
                <w:rFonts w:hint="eastAsia" w:ascii="宋体" w:hAnsi="宋体"/>
                <w:szCs w:val="21"/>
              </w:rPr>
              <w:t>实训室（基地）名称</w:t>
            </w:r>
          </w:p>
        </w:tc>
        <w:tc>
          <w:tcPr>
            <w:tcW w:w="934" w:type="dxa"/>
            <w:vAlign w:val="center"/>
          </w:tcPr>
          <w:p>
            <w:pPr>
              <w:adjustRightInd w:val="0"/>
              <w:snapToGrid w:val="0"/>
              <w:jc w:val="center"/>
              <w:rPr>
                <w:rFonts w:ascii="宋体"/>
                <w:szCs w:val="21"/>
              </w:rPr>
            </w:pPr>
            <w:r>
              <w:rPr>
                <w:rFonts w:hint="eastAsia" w:ascii="宋体" w:hAnsi="宋体"/>
                <w:szCs w:val="21"/>
              </w:rPr>
              <w:t>工位数</w:t>
            </w:r>
          </w:p>
        </w:tc>
        <w:tc>
          <w:tcPr>
            <w:tcW w:w="2694" w:type="dxa"/>
            <w:vAlign w:val="center"/>
          </w:tcPr>
          <w:p>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2032" w:type="dxa"/>
            <w:vAlign w:val="center"/>
          </w:tcPr>
          <w:p>
            <w:pPr>
              <w:adjustRightInd w:val="0"/>
              <w:snapToGrid w:val="0"/>
              <w:jc w:val="center"/>
              <w:rPr>
                <w:rFonts w:ascii="宋体"/>
                <w:szCs w:val="21"/>
              </w:rPr>
            </w:pPr>
            <w:r>
              <w:rPr>
                <w:rFonts w:hint="eastAsia" w:ascii="宋体" w:hAnsi="宋体"/>
                <w:szCs w:val="21"/>
              </w:rPr>
              <w:t>实训内容</w:t>
            </w:r>
          </w:p>
        </w:tc>
      </w:tr>
      <w:tr>
        <w:trPr>
          <w:trHeight w:val="454" w:hRule="atLeast"/>
          <w:jc w:val="center"/>
        </w:trPr>
        <w:tc>
          <w:tcPr>
            <w:tcW w:w="758" w:type="dxa"/>
            <w:vAlign w:val="center"/>
          </w:tcPr>
          <w:p>
            <w:pPr>
              <w:adjustRightInd w:val="0"/>
              <w:snapToGrid w:val="0"/>
              <w:jc w:val="center"/>
              <w:rPr>
                <w:rFonts w:ascii="宋体"/>
                <w:szCs w:val="21"/>
              </w:rPr>
            </w:pPr>
            <w:r>
              <w:rPr>
                <w:rFonts w:hint="eastAsia" w:ascii="宋体"/>
                <w:szCs w:val="21"/>
              </w:rPr>
              <w:t>1</w:t>
            </w:r>
          </w:p>
        </w:tc>
        <w:tc>
          <w:tcPr>
            <w:tcW w:w="2468" w:type="dxa"/>
            <w:vAlign w:val="center"/>
          </w:tcPr>
          <w:p>
            <w:pPr>
              <w:adjustRightInd w:val="0"/>
              <w:snapToGrid w:val="0"/>
              <w:jc w:val="left"/>
              <w:rPr>
                <w:rFonts w:ascii="宋体"/>
                <w:szCs w:val="21"/>
              </w:rPr>
            </w:pPr>
            <w:r>
              <w:rPr>
                <w:rFonts w:hint="eastAsia" w:ascii="宋体"/>
                <w:szCs w:val="21"/>
              </w:rPr>
              <w:t>安宁移动4G、5G基站</w:t>
            </w:r>
          </w:p>
        </w:tc>
        <w:tc>
          <w:tcPr>
            <w:tcW w:w="934" w:type="dxa"/>
            <w:vAlign w:val="center"/>
          </w:tcPr>
          <w:p>
            <w:pPr>
              <w:adjustRightInd w:val="0"/>
              <w:snapToGrid w:val="0"/>
              <w:jc w:val="center"/>
              <w:rPr>
                <w:rFonts w:ascii="宋体"/>
                <w:szCs w:val="21"/>
              </w:rPr>
            </w:pPr>
            <w:r>
              <w:rPr>
                <w:rFonts w:hint="eastAsia" w:ascii="宋体"/>
                <w:szCs w:val="21"/>
              </w:rPr>
              <w:t>5</w:t>
            </w:r>
            <w:r>
              <w:rPr>
                <w:rFonts w:ascii="宋体"/>
                <w:szCs w:val="21"/>
              </w:rPr>
              <w:t>0</w:t>
            </w:r>
          </w:p>
        </w:tc>
        <w:tc>
          <w:tcPr>
            <w:tcW w:w="2694" w:type="dxa"/>
            <w:vAlign w:val="center"/>
          </w:tcPr>
          <w:p>
            <w:pPr>
              <w:adjustRightInd w:val="0"/>
              <w:snapToGrid w:val="0"/>
              <w:rPr>
                <w:rFonts w:ascii="宋体"/>
                <w:szCs w:val="21"/>
              </w:rPr>
            </w:pPr>
            <w:r>
              <w:rPr>
                <w:rFonts w:hint="eastAsia" w:ascii="宋体"/>
                <w:szCs w:val="21"/>
              </w:rPr>
              <w:t>《无线网络规划与优化》</w:t>
            </w:r>
          </w:p>
          <w:p>
            <w:pPr>
              <w:adjustRightInd w:val="0"/>
              <w:snapToGrid w:val="0"/>
              <w:rPr>
                <w:rFonts w:ascii="宋体"/>
                <w:szCs w:val="21"/>
              </w:rPr>
            </w:pPr>
            <w:r>
              <w:rPr>
                <w:rFonts w:hint="eastAsia" w:ascii="宋体"/>
                <w:szCs w:val="21"/>
              </w:rPr>
              <w:t>《现代移动通信技术》</w:t>
            </w:r>
          </w:p>
          <w:p>
            <w:pPr>
              <w:adjustRightInd w:val="0"/>
              <w:snapToGrid w:val="0"/>
              <w:rPr>
                <w:rFonts w:ascii="宋体"/>
                <w:szCs w:val="21"/>
              </w:rPr>
            </w:pPr>
            <w:r>
              <w:rPr>
                <w:rFonts w:hint="eastAsia" w:ascii="宋体"/>
                <w:szCs w:val="21"/>
              </w:rPr>
              <w:t>《5G</w:t>
            </w:r>
            <w:r>
              <w:rPr>
                <w:rFonts w:ascii="宋体"/>
                <w:szCs w:val="21"/>
              </w:rPr>
              <w:t>通信技术</w:t>
            </w:r>
            <w:r>
              <w:rPr>
                <w:rFonts w:hint="eastAsia" w:ascii="宋体"/>
                <w:szCs w:val="21"/>
              </w:rPr>
              <w:t>》</w:t>
            </w:r>
          </w:p>
        </w:tc>
        <w:tc>
          <w:tcPr>
            <w:tcW w:w="2032" w:type="dxa"/>
            <w:vAlign w:val="center"/>
          </w:tcPr>
          <w:p>
            <w:pPr>
              <w:adjustRightInd w:val="0"/>
              <w:snapToGrid w:val="0"/>
              <w:rPr>
                <w:rFonts w:ascii="宋体"/>
                <w:szCs w:val="21"/>
              </w:rPr>
            </w:pPr>
            <w:r>
              <w:rPr>
                <w:rFonts w:ascii="宋体"/>
                <w:szCs w:val="21"/>
              </w:rPr>
              <w:t>基站设备维护</w:t>
            </w:r>
          </w:p>
        </w:tc>
      </w:tr>
      <w:tr>
        <w:trPr>
          <w:trHeight w:val="454" w:hRule="atLeast"/>
          <w:jc w:val="center"/>
        </w:trPr>
        <w:tc>
          <w:tcPr>
            <w:tcW w:w="758" w:type="dxa"/>
            <w:vAlign w:val="center"/>
          </w:tcPr>
          <w:p>
            <w:pPr>
              <w:adjustRightInd w:val="0"/>
              <w:snapToGrid w:val="0"/>
              <w:jc w:val="center"/>
              <w:rPr>
                <w:rFonts w:ascii="宋体"/>
                <w:szCs w:val="21"/>
              </w:rPr>
            </w:pPr>
            <w:r>
              <w:rPr>
                <w:rFonts w:hint="eastAsia" w:ascii="宋体"/>
                <w:szCs w:val="21"/>
              </w:rPr>
              <w:t>2</w:t>
            </w:r>
          </w:p>
        </w:tc>
        <w:tc>
          <w:tcPr>
            <w:tcW w:w="2468" w:type="dxa"/>
            <w:vAlign w:val="center"/>
          </w:tcPr>
          <w:p>
            <w:pPr>
              <w:adjustRightInd w:val="0"/>
              <w:snapToGrid w:val="0"/>
              <w:jc w:val="left"/>
              <w:rPr>
                <w:rFonts w:ascii="宋体"/>
                <w:szCs w:val="21"/>
              </w:rPr>
            </w:pPr>
            <w:r>
              <w:rPr>
                <w:rFonts w:hint="eastAsia" w:ascii="宋体"/>
                <w:szCs w:val="21"/>
              </w:rPr>
              <w:t>安宁移动公司核心机房</w:t>
            </w:r>
          </w:p>
        </w:tc>
        <w:tc>
          <w:tcPr>
            <w:tcW w:w="934" w:type="dxa"/>
            <w:vAlign w:val="center"/>
          </w:tcPr>
          <w:p>
            <w:pPr>
              <w:adjustRightInd w:val="0"/>
              <w:snapToGrid w:val="0"/>
              <w:jc w:val="center"/>
              <w:rPr>
                <w:rFonts w:ascii="宋体"/>
                <w:szCs w:val="21"/>
              </w:rPr>
            </w:pPr>
            <w:r>
              <w:rPr>
                <w:rFonts w:hint="eastAsia" w:ascii="宋体"/>
                <w:szCs w:val="21"/>
              </w:rPr>
              <w:t>2</w:t>
            </w:r>
            <w:r>
              <w:rPr>
                <w:rFonts w:ascii="宋体"/>
                <w:szCs w:val="21"/>
              </w:rPr>
              <w:t>0</w:t>
            </w:r>
          </w:p>
        </w:tc>
        <w:tc>
          <w:tcPr>
            <w:tcW w:w="2694" w:type="dxa"/>
            <w:vAlign w:val="center"/>
          </w:tcPr>
          <w:p>
            <w:pPr>
              <w:adjustRightInd w:val="0"/>
              <w:snapToGrid w:val="0"/>
              <w:rPr>
                <w:rFonts w:ascii="宋体"/>
                <w:szCs w:val="21"/>
              </w:rPr>
            </w:pPr>
            <w:r>
              <w:rPr>
                <w:rFonts w:hint="eastAsia" w:ascii="宋体"/>
                <w:szCs w:val="21"/>
              </w:rPr>
              <w:t>《现代移动通信技术》</w:t>
            </w:r>
          </w:p>
          <w:p>
            <w:pPr>
              <w:adjustRightInd w:val="0"/>
              <w:snapToGrid w:val="0"/>
              <w:rPr>
                <w:rFonts w:ascii="宋体"/>
                <w:szCs w:val="21"/>
              </w:rPr>
            </w:pPr>
            <w:r>
              <w:rPr>
                <w:rFonts w:hint="eastAsia" w:ascii="宋体"/>
                <w:szCs w:val="21"/>
              </w:rPr>
              <w:t>《5G</w:t>
            </w:r>
            <w:r>
              <w:rPr>
                <w:rFonts w:ascii="宋体"/>
                <w:szCs w:val="21"/>
              </w:rPr>
              <w:t>通信技术</w:t>
            </w:r>
            <w:r>
              <w:rPr>
                <w:rFonts w:hint="eastAsia" w:ascii="宋体"/>
                <w:szCs w:val="21"/>
              </w:rPr>
              <w:t>》</w:t>
            </w:r>
          </w:p>
        </w:tc>
        <w:tc>
          <w:tcPr>
            <w:tcW w:w="2032" w:type="dxa"/>
            <w:vAlign w:val="center"/>
          </w:tcPr>
          <w:p>
            <w:pPr>
              <w:adjustRightInd w:val="0"/>
              <w:snapToGrid w:val="0"/>
              <w:rPr>
                <w:rFonts w:ascii="宋体"/>
                <w:szCs w:val="21"/>
              </w:rPr>
            </w:pPr>
            <w:r>
              <w:rPr>
                <w:rFonts w:ascii="宋体"/>
                <w:szCs w:val="21"/>
              </w:rPr>
              <w:t>移动通信核心网设备维护</w:t>
            </w:r>
          </w:p>
        </w:tc>
      </w:tr>
      <w:tr>
        <w:trPr>
          <w:trHeight w:val="454" w:hRule="atLeast"/>
          <w:jc w:val="center"/>
        </w:trPr>
        <w:tc>
          <w:tcPr>
            <w:tcW w:w="758" w:type="dxa"/>
            <w:vAlign w:val="center"/>
          </w:tcPr>
          <w:p>
            <w:pPr>
              <w:adjustRightInd w:val="0"/>
              <w:snapToGrid w:val="0"/>
              <w:jc w:val="center"/>
              <w:rPr>
                <w:rFonts w:ascii="宋体"/>
                <w:szCs w:val="21"/>
              </w:rPr>
            </w:pPr>
            <w:r>
              <w:rPr>
                <w:rFonts w:ascii="宋体"/>
                <w:szCs w:val="21"/>
              </w:rPr>
              <w:t>3</w:t>
            </w:r>
          </w:p>
        </w:tc>
        <w:tc>
          <w:tcPr>
            <w:tcW w:w="2468" w:type="dxa"/>
            <w:vAlign w:val="center"/>
          </w:tcPr>
          <w:p>
            <w:pPr>
              <w:adjustRightInd w:val="0"/>
              <w:snapToGrid w:val="0"/>
              <w:jc w:val="left"/>
              <w:rPr>
                <w:rFonts w:ascii="宋体"/>
                <w:szCs w:val="21"/>
              </w:rPr>
            </w:pPr>
            <w:r>
              <w:rPr>
                <w:rFonts w:hint="eastAsia" w:ascii="宋体"/>
                <w:szCs w:val="21"/>
              </w:rPr>
              <w:t>安宁移动营业厅</w:t>
            </w:r>
          </w:p>
        </w:tc>
        <w:tc>
          <w:tcPr>
            <w:tcW w:w="934" w:type="dxa"/>
            <w:vAlign w:val="center"/>
          </w:tcPr>
          <w:p>
            <w:pPr>
              <w:adjustRightInd w:val="0"/>
              <w:snapToGrid w:val="0"/>
              <w:jc w:val="center"/>
              <w:rPr>
                <w:rFonts w:ascii="宋体"/>
                <w:szCs w:val="21"/>
              </w:rPr>
            </w:pPr>
            <w:r>
              <w:rPr>
                <w:rFonts w:hint="eastAsia" w:ascii="宋体"/>
                <w:szCs w:val="21"/>
              </w:rPr>
              <w:t>5</w:t>
            </w:r>
            <w:r>
              <w:rPr>
                <w:rFonts w:ascii="宋体"/>
                <w:szCs w:val="21"/>
              </w:rPr>
              <w:t>0</w:t>
            </w:r>
          </w:p>
        </w:tc>
        <w:tc>
          <w:tcPr>
            <w:tcW w:w="2694" w:type="dxa"/>
            <w:vAlign w:val="center"/>
          </w:tcPr>
          <w:p>
            <w:pPr>
              <w:adjustRightInd w:val="0"/>
              <w:snapToGrid w:val="0"/>
              <w:rPr>
                <w:rFonts w:ascii="宋体"/>
                <w:szCs w:val="21"/>
              </w:rPr>
            </w:pPr>
            <w:r>
              <w:rPr>
                <w:rFonts w:hint="eastAsia" w:ascii="宋体"/>
                <w:szCs w:val="21"/>
              </w:rPr>
              <w:t>《通信营销与客户服务》</w:t>
            </w:r>
          </w:p>
          <w:p>
            <w:pPr>
              <w:adjustRightInd w:val="0"/>
              <w:snapToGrid w:val="0"/>
              <w:rPr>
                <w:rFonts w:ascii="宋体"/>
                <w:szCs w:val="21"/>
              </w:rPr>
            </w:pPr>
            <w:r>
              <w:rPr>
                <w:rFonts w:hint="eastAsia" w:ascii="宋体"/>
                <w:szCs w:val="21"/>
              </w:rPr>
              <w:t>《电信业务应用与营销》</w:t>
            </w:r>
          </w:p>
        </w:tc>
        <w:tc>
          <w:tcPr>
            <w:tcW w:w="2032" w:type="dxa"/>
            <w:vAlign w:val="center"/>
          </w:tcPr>
          <w:p>
            <w:pPr>
              <w:adjustRightInd w:val="0"/>
              <w:snapToGrid w:val="0"/>
              <w:rPr>
                <w:rFonts w:ascii="宋体"/>
                <w:szCs w:val="21"/>
              </w:rPr>
            </w:pPr>
            <w:r>
              <w:rPr>
                <w:rFonts w:ascii="宋体"/>
                <w:szCs w:val="21"/>
              </w:rPr>
              <w:t>电信产品与业务营销；</w:t>
            </w:r>
            <w:r>
              <w:rPr>
                <w:rFonts w:hint="eastAsia" w:ascii="宋体"/>
                <w:szCs w:val="21"/>
              </w:rPr>
              <w:t>投诉处理。</w:t>
            </w:r>
          </w:p>
        </w:tc>
      </w:tr>
      <w:bookmarkEnd w:id="3"/>
    </w:tbl>
    <w:p>
      <w:pPr>
        <w:adjustRightInd w:val="0"/>
        <w:snapToGrid w:val="0"/>
        <w:spacing w:before="156" w:beforeLines="50"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3.</w:t>
      </w:r>
      <w:r>
        <w:rPr>
          <w:rFonts w:hint="eastAsia" w:ascii="宋体" w:hAnsi="宋体" w:cs="Angsana New"/>
          <w:color w:val="000000" w:themeColor="text1"/>
          <w:sz w:val="24"/>
          <w:szCs w:val="24"/>
          <w:lang w:bidi="th-TH"/>
          <w14:textFill>
            <w14:solidFill>
              <w14:schemeClr w14:val="tx1"/>
            </w14:solidFill>
          </w14:textFill>
        </w:rPr>
        <w:t>支持信息化教学方面的基本要求</w:t>
      </w:r>
    </w:p>
    <w:p>
      <w:pPr>
        <w:adjustRightInd w:val="0"/>
        <w:snapToGrid w:val="0"/>
        <w:spacing w:line="360" w:lineRule="auto"/>
        <w:ind w:firstLine="480" w:firstLineChars="200"/>
        <w:rPr>
          <w:rFonts w:asci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接入国家智慧教育公共服务平台，与超星、学堂在线、中国大学慕课等线上教育平台合作，提供线上线下混合教学服务；建立针对混合教学的评价机制，支持学生利用信息化教学条件自主学习，提升教学效果。</w:t>
      </w:r>
    </w:p>
    <w:p>
      <w:pPr>
        <w:adjustRightInd w:val="0"/>
        <w:snapToGrid w:val="0"/>
        <w:spacing w:line="360" w:lineRule="auto"/>
        <w:ind w:firstLine="480" w:firstLineChars="200"/>
        <w:outlineLvl w:val="1"/>
        <w:rPr>
          <w:rFonts w:ascii="宋体" w:cs="Angsana New"/>
          <w:b/>
          <w:sz w:val="24"/>
          <w:szCs w:val="24"/>
          <w:lang w:bidi="th-TH"/>
        </w:rPr>
      </w:pPr>
      <w:r>
        <w:rPr>
          <w:rFonts w:hint="eastAsia" w:ascii="宋体" w:hAnsi="宋体" w:cs="Angsana New"/>
          <w:b/>
          <w:sz w:val="24"/>
          <w:szCs w:val="24"/>
          <w:lang w:bidi="th-TH"/>
        </w:rPr>
        <w:t>（三）教学资源</w:t>
      </w:r>
    </w:p>
    <w:p>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本专业教学资源中文本类资源</w:t>
      </w:r>
      <w:r>
        <w:rPr>
          <w:rFonts w:ascii="宋体" w:hAnsi="宋体" w:cs="Angsana New"/>
          <w:color w:val="000000" w:themeColor="text1"/>
          <w:sz w:val="24"/>
          <w:szCs w:val="24"/>
          <w:lang w:bidi="th-TH"/>
          <w14:textFill>
            <w14:solidFill>
              <w14:schemeClr w14:val="tx1"/>
            </w14:solidFill>
          </w14:textFill>
        </w:rPr>
        <w:t>34</w:t>
      </w:r>
      <w:r>
        <w:rPr>
          <w:rFonts w:hint="eastAsia" w:ascii="宋体" w:hAnsi="宋体" w:cs="Angsana New"/>
          <w:color w:val="000000" w:themeColor="text1"/>
          <w:sz w:val="24"/>
          <w:szCs w:val="24"/>
          <w:lang w:bidi="th-TH"/>
          <w14:textFill>
            <w14:solidFill>
              <w14:schemeClr w14:val="tx1"/>
            </w14:solidFill>
          </w14:textFill>
        </w:rPr>
        <w:t>个、演示文稿类资源</w:t>
      </w:r>
      <w:r>
        <w:rPr>
          <w:rFonts w:ascii="宋体" w:hAnsi="宋体" w:cs="Angsana New"/>
          <w:color w:val="000000" w:themeColor="text1"/>
          <w:sz w:val="24"/>
          <w:szCs w:val="24"/>
          <w:lang w:bidi="th-TH"/>
          <w14:textFill>
            <w14:solidFill>
              <w14:schemeClr w14:val="tx1"/>
            </w14:solidFill>
          </w14:textFill>
        </w:rPr>
        <w:t>45</w:t>
      </w:r>
      <w:r>
        <w:rPr>
          <w:rFonts w:hint="eastAsia" w:ascii="宋体" w:hAnsi="宋体" w:cs="Angsana New"/>
          <w:color w:val="000000" w:themeColor="text1"/>
          <w:sz w:val="24"/>
          <w:szCs w:val="24"/>
          <w:lang w:bidi="th-TH"/>
          <w14:textFill>
            <w14:solidFill>
              <w14:schemeClr w14:val="tx1"/>
            </w14:solidFill>
          </w14:textFill>
        </w:rPr>
        <w:t>个、图形（图像）类资源</w:t>
      </w:r>
      <w:r>
        <w:rPr>
          <w:rFonts w:ascii="宋体" w:hAnsi="宋体" w:cs="Angsana New"/>
          <w:color w:val="000000" w:themeColor="text1"/>
          <w:sz w:val="24"/>
          <w:szCs w:val="24"/>
          <w:lang w:bidi="th-TH"/>
          <w14:textFill>
            <w14:solidFill>
              <w14:schemeClr w14:val="tx1"/>
            </w14:solidFill>
          </w14:textFill>
        </w:rPr>
        <w:t>15</w:t>
      </w:r>
      <w:r>
        <w:rPr>
          <w:rFonts w:hint="eastAsia" w:ascii="宋体" w:hAnsi="宋体" w:cs="Angsana New"/>
          <w:color w:val="000000" w:themeColor="text1"/>
          <w:sz w:val="24"/>
          <w:szCs w:val="24"/>
          <w:lang w:bidi="th-TH"/>
          <w14:textFill>
            <w14:solidFill>
              <w14:schemeClr w14:val="tx1"/>
            </w14:solidFill>
          </w14:textFill>
        </w:rPr>
        <w:t>个、视频类资源</w:t>
      </w:r>
      <w:r>
        <w:rPr>
          <w:rFonts w:ascii="宋体" w:hAnsi="宋体" w:cs="Angsana New"/>
          <w:color w:val="000000" w:themeColor="text1"/>
          <w:sz w:val="24"/>
          <w:szCs w:val="24"/>
          <w:lang w:bidi="th-TH"/>
          <w14:textFill>
            <w14:solidFill>
              <w14:schemeClr w14:val="tx1"/>
            </w14:solidFill>
          </w14:textFill>
        </w:rPr>
        <w:t>123</w:t>
      </w:r>
      <w:r>
        <w:rPr>
          <w:rFonts w:hint="eastAsia" w:ascii="宋体" w:hAnsi="宋体" w:cs="Angsana New"/>
          <w:color w:val="000000" w:themeColor="text1"/>
          <w:sz w:val="24"/>
          <w:szCs w:val="24"/>
          <w:lang w:bidi="th-TH"/>
          <w14:textFill>
            <w14:solidFill>
              <w14:schemeClr w14:val="tx1"/>
            </w14:solidFill>
          </w14:textFill>
        </w:rPr>
        <w:t>个。</w:t>
      </w:r>
    </w:p>
    <w:p>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1．教材选用基本要求</w:t>
      </w:r>
    </w:p>
    <w:p>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严格按照国家规定及学校教材选用制度选用教材。由任课教师提出申请，教研室进行初审后报学校审核。优先选用国家规划教材和国家优秀教材；择优选用、</w:t>
      </w:r>
      <w:r>
        <w:rPr>
          <w:rFonts w:ascii="宋体" w:hAnsi="宋体" w:cs="Angsana New"/>
          <w:color w:val="000000" w:themeColor="text1"/>
          <w:sz w:val="24"/>
          <w:szCs w:val="24"/>
          <w:lang w:bidi="th-TH"/>
          <w14:textFill>
            <w14:solidFill>
              <w14:schemeClr w14:val="tx1"/>
            </w14:solidFill>
          </w14:textFill>
        </w:rPr>
        <w:t>能</w:t>
      </w:r>
      <w:r>
        <w:rPr>
          <w:rFonts w:hint="eastAsia" w:ascii="宋体" w:hAnsi="宋体" w:cs="Angsana New"/>
          <w:color w:val="000000" w:themeColor="text1"/>
          <w:sz w:val="24"/>
          <w:szCs w:val="24"/>
          <w:lang w:bidi="th-TH"/>
          <w14:textFill>
            <w14:solidFill>
              <w14:schemeClr w14:val="tx1"/>
            </w14:solidFill>
          </w14:textFill>
        </w:rPr>
        <w:t>体现本行业新技术、新规范、新标准、新形态的</w:t>
      </w:r>
      <w:r>
        <w:rPr>
          <w:rFonts w:ascii="宋体" w:hAnsi="宋体" w:cs="Angsana New"/>
          <w:color w:val="000000" w:themeColor="text1"/>
          <w:sz w:val="24"/>
          <w:szCs w:val="24"/>
          <w:lang w:bidi="th-TH"/>
          <w14:textFill>
            <w14:solidFill>
              <w14:schemeClr w14:val="tx1"/>
            </w14:solidFill>
          </w14:textFill>
        </w:rPr>
        <w:t>教材</w:t>
      </w:r>
      <w:r>
        <w:rPr>
          <w:rFonts w:hint="eastAsia" w:ascii="宋体" w:hAnsi="宋体" w:cs="Angsana New"/>
          <w:color w:val="000000" w:themeColor="text1"/>
          <w:sz w:val="24"/>
          <w:szCs w:val="24"/>
          <w:lang w:bidi="th-TH"/>
          <w14:textFill>
            <w14:solidFill>
              <w14:schemeClr w14:val="tx1"/>
            </w14:solidFill>
          </w14:textFill>
        </w:rPr>
        <w:t>；鼓励</w:t>
      </w:r>
      <w:r>
        <w:rPr>
          <w:rFonts w:ascii="宋体" w:hAnsi="宋体" w:cs="Angsana New"/>
          <w:color w:val="000000" w:themeColor="text1"/>
          <w:sz w:val="24"/>
          <w:szCs w:val="24"/>
          <w:lang w:bidi="th-TH"/>
          <w14:textFill>
            <w14:solidFill>
              <w14:schemeClr w14:val="tx1"/>
            </w14:solidFill>
          </w14:textFill>
        </w:rPr>
        <w:t>编写校本教材</w:t>
      </w:r>
      <w:r>
        <w:rPr>
          <w:rFonts w:hint="eastAsia" w:ascii="宋体" w:hAnsi="宋体" w:cs="Angsana New"/>
          <w:color w:val="000000" w:themeColor="text1"/>
          <w:sz w:val="24"/>
          <w:szCs w:val="24"/>
          <w:lang w:bidi="th-TH"/>
          <w14:textFill>
            <w14:solidFill>
              <w14:schemeClr w14:val="tx1"/>
            </w14:solidFill>
          </w14:textFill>
        </w:rPr>
        <w:t>；禁止不合格的教材进入课堂</w:t>
      </w:r>
      <w:r>
        <w:rPr>
          <w:rFonts w:ascii="宋体" w:hAnsi="宋体" w:cs="Angsana New"/>
          <w:color w:val="000000" w:themeColor="text1"/>
          <w:sz w:val="24"/>
          <w:szCs w:val="24"/>
          <w:lang w:bidi="th-TH"/>
          <w14:textFill>
            <w14:solidFill>
              <w14:schemeClr w14:val="tx1"/>
            </w14:solidFill>
          </w14:textFill>
        </w:rPr>
        <w:t>。</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2．图书文献配备基本要求</w:t>
      </w:r>
    </w:p>
    <w:p>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图书文献配备能满足人才培养、专业建设、教科研等工作的需要。专业类图书文献主要包括：教材、习题集、工程图纸、行业规范等。及时配置新经济、新技术、新工艺、新材料、新管理方式、新服务方式等相关的图书文献。</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3．数字教学资源配置基本要求</w:t>
      </w:r>
    </w:p>
    <w:p>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配备与本专业有关的音视频素材、教学课件、数字化教学案例库、虚拟仿真软件、数字教材等专业教学资源库，种类丰富、形式多样、使用便捷、动态更新、满足教学。</w:t>
      </w:r>
    </w:p>
    <w:p>
      <w:pPr>
        <w:adjustRightInd w:val="0"/>
        <w:snapToGrid w:val="0"/>
        <w:spacing w:line="360" w:lineRule="auto"/>
        <w:ind w:firstLine="480" w:firstLineChars="200"/>
        <w:rPr>
          <w:rFonts w:ascii="宋体" w:hAnsi="宋体" w:cs="Angsana New"/>
          <w:b/>
          <w:sz w:val="24"/>
          <w:szCs w:val="24"/>
          <w:lang w:bidi="th-TH"/>
        </w:rPr>
      </w:pPr>
      <w:r>
        <w:rPr>
          <w:rFonts w:hint="eastAsia" w:ascii="宋体" w:hAnsi="宋体" w:cs="Angsana New"/>
          <w:b/>
          <w:sz w:val="24"/>
          <w:szCs w:val="24"/>
          <w:lang w:bidi="th-TH"/>
        </w:rPr>
        <w:t>（四</w:t>
      </w:r>
      <w:r>
        <w:rPr>
          <w:rFonts w:ascii="宋体" w:hAnsi="宋体" w:cs="Angsana New"/>
          <w:b/>
          <w:sz w:val="24"/>
          <w:szCs w:val="24"/>
          <w:lang w:bidi="th-TH"/>
        </w:rPr>
        <w:t>）</w:t>
      </w:r>
      <w:r>
        <w:rPr>
          <w:rFonts w:hint="eastAsia" w:ascii="宋体" w:hAnsi="宋体" w:cs="Angsana New"/>
          <w:b/>
          <w:sz w:val="24"/>
          <w:szCs w:val="24"/>
          <w:lang w:bidi="th-TH"/>
        </w:rPr>
        <w:t>校企</w:t>
      </w:r>
      <w:r>
        <w:rPr>
          <w:rFonts w:ascii="宋体" w:hAnsi="宋体" w:cs="Angsana New"/>
          <w:b/>
          <w:sz w:val="24"/>
          <w:szCs w:val="24"/>
          <w:lang w:bidi="th-TH"/>
        </w:rPr>
        <w:t>合作</w:t>
      </w:r>
    </w:p>
    <w:p>
      <w:pPr>
        <w:adjustRightInd w:val="0"/>
        <w:snapToGrid w:val="0"/>
        <w:spacing w:line="360" w:lineRule="auto"/>
        <w:ind w:firstLine="480" w:firstLineChars="200"/>
        <w:rPr>
          <w:rFonts w:cs="Angsana New" w:asciiTheme="minorEastAsia" w:hAnsiTheme="minorEastAsia" w:eastAsiaTheme="minorEastAsia"/>
          <w:sz w:val="24"/>
          <w:szCs w:val="24"/>
          <w:lang w:bidi="th-TH"/>
        </w:rPr>
      </w:pPr>
      <w:r>
        <w:rPr>
          <w:rFonts w:hint="eastAsia" w:cs="Angsana New" w:asciiTheme="minorEastAsia" w:hAnsiTheme="minorEastAsia" w:eastAsiaTheme="minorEastAsia"/>
          <w:sz w:val="24"/>
          <w:szCs w:val="24"/>
          <w:lang w:bidi="th-TH"/>
        </w:rPr>
        <w:t>与</w:t>
      </w:r>
      <w:r>
        <w:rPr>
          <w:rFonts w:hint="eastAsia" w:asciiTheme="minorEastAsia" w:hAnsiTheme="minorEastAsia" w:eastAsiaTheme="minorEastAsia"/>
          <w:sz w:val="24"/>
          <w:szCs w:val="24"/>
        </w:rPr>
        <w:t>云南吉程教育科技有限公司和昆明移动安宁分公司开展合作，培养移动通信营销服务和移动网络施工及优化岗位人才。</w:t>
      </w:r>
    </w:p>
    <w:p>
      <w:pPr>
        <w:adjustRightInd w:val="0"/>
        <w:snapToGrid w:val="0"/>
        <w:spacing w:line="360" w:lineRule="auto"/>
        <w:ind w:firstLine="420" w:firstLineChars="200"/>
        <w:jc w:val="center"/>
        <w:rPr>
          <w:rFonts w:ascii="宋体" w:hAnsi="宋体" w:cs="Angsana New"/>
          <w:b/>
          <w:szCs w:val="21"/>
          <w:lang w:bidi="th-TH"/>
        </w:rPr>
      </w:pPr>
      <w:r>
        <w:rPr>
          <w:rFonts w:hint="eastAsia" w:ascii="宋体" w:hAnsi="宋体" w:cs="Angsana New"/>
          <w:b/>
          <w:szCs w:val="21"/>
          <w:lang w:bidi="th-TH"/>
        </w:rPr>
        <w:t>表1</w:t>
      </w:r>
      <w:r>
        <w:rPr>
          <w:rFonts w:ascii="宋体" w:hAnsi="宋体" w:cs="Angsana New"/>
          <w:b/>
          <w:szCs w:val="21"/>
          <w:lang w:bidi="th-TH"/>
        </w:rPr>
        <w:t>0</w:t>
      </w:r>
      <w:r>
        <w:rPr>
          <w:rFonts w:hint="eastAsia" w:ascii="宋体" w:hAnsi="宋体" w:cs="Angsana New"/>
          <w:b/>
          <w:szCs w:val="21"/>
          <w:lang w:bidi="th-TH"/>
        </w:rPr>
        <w:t xml:space="preserve"> 合作企业情况表</w:t>
      </w:r>
    </w:p>
    <w:tbl>
      <w:tblPr>
        <w:tblStyle w:val="12"/>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501"/>
        <w:gridCol w:w="1299"/>
        <w:gridCol w:w="2860"/>
      </w:tblGrid>
      <w:tr>
        <w:trPr>
          <w:trHeight w:val="567" w:hRule="atLeast"/>
          <w:jc w:val="center"/>
        </w:trPr>
        <w:tc>
          <w:tcPr>
            <w:tcW w:w="959" w:type="dxa"/>
            <w:vAlign w:val="center"/>
          </w:tcPr>
          <w:p>
            <w:pPr>
              <w:adjustRightInd w:val="0"/>
              <w:snapToGrid w:val="0"/>
              <w:jc w:val="center"/>
              <w:rPr>
                <w:rFonts w:ascii="宋体"/>
                <w:szCs w:val="21"/>
              </w:rPr>
            </w:pPr>
            <w:r>
              <w:rPr>
                <w:rFonts w:hint="eastAsia" w:ascii="宋体" w:hAnsi="宋体"/>
                <w:szCs w:val="21"/>
              </w:rPr>
              <w:t>序号</w:t>
            </w:r>
          </w:p>
        </w:tc>
        <w:tc>
          <w:tcPr>
            <w:tcW w:w="2267" w:type="dxa"/>
            <w:vAlign w:val="center"/>
          </w:tcPr>
          <w:p>
            <w:pPr>
              <w:adjustRightInd w:val="0"/>
              <w:snapToGrid w:val="0"/>
              <w:jc w:val="center"/>
              <w:rPr>
                <w:rFonts w:ascii="宋体"/>
                <w:szCs w:val="21"/>
              </w:rPr>
            </w:pPr>
            <w:r>
              <w:rPr>
                <w:rFonts w:hint="eastAsia" w:ascii="宋体" w:hAnsi="宋体"/>
                <w:szCs w:val="21"/>
              </w:rPr>
              <w:t>企业名称</w:t>
            </w:r>
          </w:p>
        </w:tc>
        <w:tc>
          <w:tcPr>
            <w:tcW w:w="1501" w:type="dxa"/>
            <w:vAlign w:val="center"/>
          </w:tcPr>
          <w:p>
            <w:pPr>
              <w:adjustRightInd w:val="0"/>
              <w:snapToGrid w:val="0"/>
              <w:jc w:val="center"/>
              <w:rPr>
                <w:rFonts w:ascii="宋体"/>
                <w:szCs w:val="21"/>
              </w:rPr>
            </w:pPr>
            <w:r>
              <w:rPr>
                <w:rFonts w:hint="eastAsia" w:ascii="宋体" w:hAnsi="宋体"/>
                <w:szCs w:val="21"/>
              </w:rPr>
              <w:t>所属行业</w:t>
            </w:r>
          </w:p>
        </w:tc>
        <w:tc>
          <w:tcPr>
            <w:tcW w:w="1299" w:type="dxa"/>
            <w:vAlign w:val="center"/>
          </w:tcPr>
          <w:p>
            <w:pPr>
              <w:adjustRightInd w:val="0"/>
              <w:snapToGrid w:val="0"/>
              <w:jc w:val="center"/>
              <w:rPr>
                <w:rFonts w:ascii="宋体"/>
                <w:szCs w:val="21"/>
              </w:rPr>
            </w:pPr>
            <w:r>
              <w:rPr>
                <w:rFonts w:hint="eastAsia" w:ascii="宋体" w:hAnsi="宋体"/>
                <w:szCs w:val="21"/>
              </w:rPr>
              <w:t>接纳实习人数</w:t>
            </w:r>
          </w:p>
        </w:tc>
        <w:tc>
          <w:tcPr>
            <w:tcW w:w="2860" w:type="dxa"/>
            <w:vAlign w:val="center"/>
          </w:tcPr>
          <w:p>
            <w:pPr>
              <w:adjustRightInd w:val="0"/>
              <w:snapToGrid w:val="0"/>
              <w:jc w:val="center"/>
              <w:rPr>
                <w:rFonts w:ascii="宋体"/>
                <w:szCs w:val="21"/>
              </w:rPr>
            </w:pPr>
            <w:r>
              <w:rPr>
                <w:rFonts w:hint="eastAsia" w:ascii="宋体" w:hAnsi="宋体"/>
                <w:szCs w:val="21"/>
              </w:rPr>
              <w:t>实习内容</w:t>
            </w:r>
          </w:p>
        </w:tc>
      </w:tr>
      <w:tr>
        <w:trPr>
          <w:trHeight w:val="454" w:hRule="atLeast"/>
          <w:jc w:val="center"/>
        </w:trPr>
        <w:tc>
          <w:tcPr>
            <w:tcW w:w="959" w:type="dxa"/>
            <w:vAlign w:val="center"/>
          </w:tcPr>
          <w:p>
            <w:pPr>
              <w:adjustRightInd w:val="0"/>
              <w:snapToGrid w:val="0"/>
              <w:jc w:val="center"/>
              <w:rPr>
                <w:rFonts w:ascii="宋体"/>
                <w:szCs w:val="21"/>
              </w:rPr>
            </w:pPr>
            <w:r>
              <w:rPr>
                <w:rFonts w:hint="eastAsia" w:ascii="宋体"/>
                <w:szCs w:val="21"/>
              </w:rPr>
              <w:t>1</w:t>
            </w:r>
          </w:p>
        </w:tc>
        <w:tc>
          <w:tcPr>
            <w:tcW w:w="2267" w:type="dxa"/>
            <w:vAlign w:val="center"/>
          </w:tcPr>
          <w:p>
            <w:pPr>
              <w:adjustRightInd w:val="0"/>
              <w:snapToGrid w:val="0"/>
              <w:jc w:val="center"/>
              <w:rPr>
                <w:rFonts w:ascii="宋体"/>
                <w:szCs w:val="21"/>
              </w:rPr>
            </w:pPr>
            <w:r>
              <w:rPr>
                <w:rFonts w:hint="eastAsia" w:ascii="宋体"/>
                <w:szCs w:val="21"/>
              </w:rPr>
              <w:t>云南吉程教育科技有限公司</w:t>
            </w:r>
          </w:p>
        </w:tc>
        <w:tc>
          <w:tcPr>
            <w:tcW w:w="1501" w:type="dxa"/>
            <w:vAlign w:val="center"/>
          </w:tcPr>
          <w:p>
            <w:pPr>
              <w:adjustRightInd w:val="0"/>
              <w:snapToGrid w:val="0"/>
              <w:jc w:val="center"/>
              <w:rPr>
                <w:rFonts w:ascii="宋体"/>
                <w:szCs w:val="21"/>
              </w:rPr>
            </w:pPr>
            <w:r>
              <w:rPr>
                <w:rFonts w:ascii="宋体"/>
                <w:szCs w:val="21"/>
              </w:rPr>
              <w:t>教育咨询</w:t>
            </w:r>
          </w:p>
        </w:tc>
        <w:tc>
          <w:tcPr>
            <w:tcW w:w="1299" w:type="dxa"/>
            <w:vAlign w:val="center"/>
          </w:tcPr>
          <w:p>
            <w:pPr>
              <w:adjustRightInd w:val="0"/>
              <w:snapToGrid w:val="0"/>
              <w:jc w:val="center"/>
              <w:rPr>
                <w:rFonts w:ascii="宋体"/>
                <w:szCs w:val="21"/>
              </w:rPr>
            </w:pPr>
            <w:r>
              <w:rPr>
                <w:rFonts w:hint="eastAsia" w:ascii="宋体"/>
                <w:szCs w:val="21"/>
              </w:rPr>
              <w:t>1</w:t>
            </w:r>
            <w:r>
              <w:rPr>
                <w:rFonts w:ascii="宋体"/>
                <w:szCs w:val="21"/>
              </w:rPr>
              <w:t>00</w:t>
            </w:r>
          </w:p>
        </w:tc>
        <w:tc>
          <w:tcPr>
            <w:tcW w:w="2860" w:type="dxa"/>
            <w:vAlign w:val="center"/>
          </w:tcPr>
          <w:p>
            <w:pPr>
              <w:adjustRightInd w:val="0"/>
              <w:snapToGrid w:val="0"/>
              <w:jc w:val="center"/>
              <w:rPr>
                <w:rFonts w:ascii="宋体"/>
                <w:szCs w:val="21"/>
              </w:rPr>
            </w:pPr>
            <w:r>
              <w:rPr>
                <w:rFonts w:ascii="宋体"/>
                <w:szCs w:val="21"/>
              </w:rPr>
              <w:t>通信营销服务</w:t>
            </w:r>
          </w:p>
        </w:tc>
      </w:tr>
      <w:tr>
        <w:trPr>
          <w:trHeight w:val="454" w:hRule="atLeast"/>
          <w:jc w:val="center"/>
        </w:trPr>
        <w:tc>
          <w:tcPr>
            <w:tcW w:w="959" w:type="dxa"/>
            <w:vAlign w:val="center"/>
          </w:tcPr>
          <w:p>
            <w:pPr>
              <w:adjustRightInd w:val="0"/>
              <w:snapToGrid w:val="0"/>
              <w:jc w:val="center"/>
              <w:rPr>
                <w:rFonts w:ascii="宋体"/>
                <w:szCs w:val="21"/>
              </w:rPr>
            </w:pPr>
            <w:r>
              <w:rPr>
                <w:rFonts w:hint="eastAsia" w:ascii="宋体"/>
                <w:szCs w:val="21"/>
              </w:rPr>
              <w:t>2</w:t>
            </w:r>
          </w:p>
        </w:tc>
        <w:tc>
          <w:tcPr>
            <w:tcW w:w="2267" w:type="dxa"/>
            <w:vAlign w:val="center"/>
          </w:tcPr>
          <w:p>
            <w:pPr>
              <w:adjustRightInd w:val="0"/>
              <w:snapToGrid w:val="0"/>
              <w:jc w:val="center"/>
              <w:rPr>
                <w:rFonts w:ascii="宋体"/>
                <w:szCs w:val="21"/>
              </w:rPr>
            </w:pPr>
            <w:r>
              <w:rPr>
                <w:rFonts w:ascii="宋体"/>
                <w:szCs w:val="21"/>
              </w:rPr>
              <w:t>昆明移动安宁分公司</w:t>
            </w:r>
          </w:p>
        </w:tc>
        <w:tc>
          <w:tcPr>
            <w:tcW w:w="1501" w:type="dxa"/>
            <w:vAlign w:val="center"/>
          </w:tcPr>
          <w:p>
            <w:pPr>
              <w:adjustRightInd w:val="0"/>
              <w:snapToGrid w:val="0"/>
              <w:jc w:val="center"/>
              <w:rPr>
                <w:rFonts w:ascii="宋体"/>
                <w:szCs w:val="21"/>
              </w:rPr>
            </w:pPr>
            <w:r>
              <w:rPr>
                <w:rFonts w:ascii="宋体"/>
                <w:szCs w:val="21"/>
              </w:rPr>
              <w:t>电信运营商</w:t>
            </w:r>
          </w:p>
        </w:tc>
        <w:tc>
          <w:tcPr>
            <w:tcW w:w="1299" w:type="dxa"/>
            <w:vAlign w:val="center"/>
          </w:tcPr>
          <w:p>
            <w:pPr>
              <w:adjustRightInd w:val="0"/>
              <w:snapToGrid w:val="0"/>
              <w:jc w:val="center"/>
              <w:rPr>
                <w:rFonts w:ascii="宋体"/>
                <w:szCs w:val="21"/>
              </w:rPr>
            </w:pPr>
            <w:r>
              <w:rPr>
                <w:rFonts w:ascii="宋体"/>
                <w:szCs w:val="21"/>
              </w:rPr>
              <w:t>1</w:t>
            </w:r>
            <w:r>
              <w:rPr>
                <w:rFonts w:hint="eastAsia" w:ascii="宋体"/>
                <w:szCs w:val="21"/>
              </w:rPr>
              <w:t>5</w:t>
            </w:r>
            <w:r>
              <w:rPr>
                <w:rFonts w:ascii="宋体"/>
                <w:szCs w:val="21"/>
              </w:rPr>
              <w:t>0</w:t>
            </w:r>
          </w:p>
        </w:tc>
        <w:tc>
          <w:tcPr>
            <w:tcW w:w="2860" w:type="dxa"/>
            <w:vAlign w:val="center"/>
          </w:tcPr>
          <w:p>
            <w:pPr>
              <w:adjustRightInd w:val="0"/>
              <w:snapToGrid w:val="0"/>
              <w:jc w:val="center"/>
              <w:rPr>
                <w:rFonts w:ascii="宋体"/>
                <w:szCs w:val="21"/>
              </w:rPr>
            </w:pPr>
            <w:r>
              <w:rPr>
                <w:rFonts w:ascii="宋体"/>
                <w:szCs w:val="21"/>
              </w:rPr>
              <w:t>通信营销服务；移动网络建设移动网络优化</w:t>
            </w:r>
          </w:p>
        </w:tc>
      </w:tr>
    </w:tbl>
    <w:p>
      <w:pPr>
        <w:spacing w:before="156" w:beforeLines="50" w:after="156" w:afterLines="50"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val="en-US" w:eastAsia="zh-CN" w:bidi="th-TH"/>
        </w:rPr>
        <w:t>九</w:t>
      </w:r>
      <w:r>
        <w:rPr>
          <w:rFonts w:hint="eastAsia" w:ascii="黑体" w:hAnsi="黑体" w:eastAsia="黑体" w:cs="Angsana New"/>
          <w:bCs/>
          <w:sz w:val="28"/>
          <w:szCs w:val="28"/>
          <w:lang w:bidi="th-TH"/>
        </w:rPr>
        <w:t>、教学实施</w:t>
      </w:r>
    </w:p>
    <w:p>
      <w:pPr>
        <w:adjustRightInd w:val="0"/>
        <w:snapToGrid w:val="0"/>
        <w:spacing w:line="360" w:lineRule="auto"/>
        <w:ind w:firstLine="480" w:firstLineChars="200"/>
        <w:outlineLvl w:val="1"/>
        <w:rPr>
          <w:rFonts w:ascii="宋体" w:cs="Angsana New"/>
          <w:b/>
          <w:sz w:val="24"/>
          <w:szCs w:val="24"/>
          <w:lang w:bidi="th-TH"/>
        </w:rPr>
      </w:pPr>
      <w:r>
        <w:rPr>
          <w:rFonts w:hint="eastAsia" w:ascii="宋体" w:hAnsi="宋体" w:cs="Angsana New"/>
          <w:b/>
          <w:sz w:val="24"/>
          <w:szCs w:val="24"/>
          <w:lang w:bidi="th-TH"/>
        </w:rPr>
        <w:t>（一）教学组织形式</w:t>
      </w:r>
    </w:p>
    <w:p>
      <w:pPr>
        <w:spacing w:line="360" w:lineRule="auto"/>
        <w:ind w:firstLine="480" w:firstLineChars="200"/>
        <w:rPr>
          <w:rFonts w:ascii="宋体" w:hAns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教学安排</w:t>
      </w:r>
    </w:p>
    <w:p>
      <w:pPr>
        <w:numPr>
          <w:ilvl w:val="255"/>
          <w:numId w:val="0"/>
        </w:num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第一阶段为基础能力培养阶段。第</w:t>
      </w:r>
      <w:r>
        <w:rPr>
          <w:rFonts w:ascii="宋体" w:hAnsi="宋体" w:cs="Angsana New"/>
          <w:sz w:val="24"/>
          <w:szCs w:val="24"/>
          <w:lang w:bidi="th-TH"/>
        </w:rPr>
        <w:t>1</w:t>
      </w:r>
      <w:r>
        <w:rPr>
          <w:rFonts w:hint="eastAsia" w:ascii="宋体" w:hAnsi="宋体" w:cs="Angsana New"/>
          <w:sz w:val="24"/>
          <w:szCs w:val="24"/>
          <w:lang w:bidi="th-TH"/>
        </w:rPr>
        <w:t>、</w:t>
      </w:r>
      <w:r>
        <w:rPr>
          <w:rFonts w:ascii="宋体" w:hAnsi="宋体" w:cs="Angsana New"/>
          <w:sz w:val="24"/>
          <w:szCs w:val="24"/>
          <w:lang w:bidi="th-TH"/>
        </w:rPr>
        <w:t>2学期在校内完成部分通识教育课程与部分专业</w:t>
      </w:r>
      <w:r>
        <w:rPr>
          <w:rFonts w:hint="eastAsia" w:ascii="宋体" w:hAnsi="宋体" w:cs="Angsana New"/>
          <w:sz w:val="24"/>
          <w:szCs w:val="24"/>
          <w:lang w:bidi="th-TH"/>
        </w:rPr>
        <w:t>群平台课程，进行职业基础知识学习与大学生基础素质培养，开展现代移动通信技术专业的职业基础技能实践，培养学生的职业基本能力。</w:t>
      </w:r>
    </w:p>
    <w:p>
      <w:pPr>
        <w:numPr>
          <w:ilvl w:val="255"/>
          <w:numId w:val="0"/>
        </w:num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第二阶段为专业核心能力培养阶段。第</w:t>
      </w:r>
      <w:r>
        <w:rPr>
          <w:rFonts w:ascii="宋体" w:hAnsi="宋体" w:cs="Angsana New"/>
          <w:sz w:val="24"/>
          <w:szCs w:val="24"/>
          <w:lang w:bidi="th-TH"/>
        </w:rPr>
        <w:t>4</w:t>
      </w:r>
      <w:r>
        <w:rPr>
          <w:rFonts w:hint="eastAsia" w:ascii="宋体" w:hAnsi="宋体" w:cs="Angsana New"/>
          <w:sz w:val="24"/>
          <w:szCs w:val="24"/>
          <w:lang w:bidi="th-TH"/>
        </w:rPr>
        <w:t>、</w:t>
      </w:r>
      <w:r>
        <w:rPr>
          <w:rFonts w:ascii="宋体" w:hAnsi="宋体" w:cs="Angsana New"/>
          <w:sz w:val="24"/>
          <w:szCs w:val="24"/>
          <w:lang w:bidi="th-TH"/>
        </w:rPr>
        <w:t>5</w:t>
      </w:r>
      <w:r>
        <w:rPr>
          <w:rFonts w:hint="eastAsia" w:ascii="宋体" w:hAnsi="宋体" w:cs="Angsana New"/>
          <w:sz w:val="24"/>
          <w:szCs w:val="24"/>
          <w:lang w:bidi="th-TH"/>
        </w:rPr>
        <w:t>学期在校内完成专业核心课程的学习，掌握专业核心技能，利用工作室和实训基地进行“做中学”的专业核心技能实践，强化专业核心技能，并进行团队协作能力等方面的培养。</w:t>
      </w:r>
    </w:p>
    <w:p>
      <w:pPr>
        <w:numPr>
          <w:ilvl w:val="255"/>
          <w:numId w:val="0"/>
        </w:num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第三阶段为职业岗位能力培养阶段。第</w:t>
      </w:r>
      <w:r>
        <w:rPr>
          <w:rFonts w:ascii="宋体" w:hAnsi="宋体" w:cs="Angsana New"/>
          <w:sz w:val="24"/>
          <w:szCs w:val="24"/>
          <w:lang w:bidi="th-TH"/>
        </w:rPr>
        <w:t>3、</w:t>
      </w:r>
      <w:r>
        <w:rPr>
          <w:rFonts w:hint="eastAsia" w:ascii="宋体" w:hAnsi="宋体" w:cs="Angsana New"/>
          <w:sz w:val="24"/>
          <w:szCs w:val="24"/>
          <w:lang w:bidi="th-TH"/>
        </w:rPr>
        <w:t>6、7、</w:t>
      </w:r>
      <w:r>
        <w:rPr>
          <w:rFonts w:ascii="宋体" w:hAnsi="宋体" w:cs="Angsana New"/>
          <w:sz w:val="24"/>
          <w:szCs w:val="24"/>
          <w:lang w:bidi="th-TH"/>
        </w:rPr>
        <w:t>8</w:t>
      </w:r>
      <w:r>
        <w:rPr>
          <w:rFonts w:hint="eastAsia" w:ascii="宋体" w:hAnsi="宋体" w:cs="Angsana New"/>
          <w:sz w:val="24"/>
          <w:szCs w:val="24"/>
          <w:lang w:bidi="th-TH"/>
        </w:rPr>
        <w:t>学期，到校外实习基地开展顶岗实习，进行职业、敬业精神、团队协作能力等方面的培养。</w:t>
      </w:r>
    </w:p>
    <w:p>
      <w:pPr>
        <w:spacing w:line="360" w:lineRule="auto"/>
        <w:ind w:firstLine="480" w:firstLineChars="20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教学方法和手段</w:t>
      </w:r>
    </w:p>
    <w:p>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根据培养方案和课程标准，由专业带头人提出实施教学应该采取的方法指导建议，指导教师依据专业培养目标、课程教学要求、学生能力与教学资源，采用适当的教学方法，以达成预期教学目标。倡导因材施教、因需施教，鼓励创新教学方法和策略，采用理实一体化教学、案例教学、项目教学等方法，坚持学中做、做中学。主要采用的教学方法有讲授法、实验法、调查研究法、项目驱动法等。</w:t>
      </w:r>
    </w:p>
    <w:p>
      <w:pPr>
        <w:adjustRightInd w:val="0"/>
        <w:snapToGrid w:val="0"/>
        <w:spacing w:before="156" w:beforeLines="50" w:after="156" w:afterLines="50"/>
        <w:ind w:firstLine="480" w:firstLineChars="200"/>
        <w:outlineLvl w:val="1"/>
        <w:rPr>
          <w:rFonts w:ascii="宋体" w:hAnsi="宋体" w:cs="Angsana New"/>
          <w:b/>
          <w:sz w:val="24"/>
          <w:szCs w:val="24"/>
          <w:lang w:bidi="th-TH"/>
        </w:rPr>
      </w:pPr>
      <w:r>
        <w:rPr>
          <w:rFonts w:hint="eastAsia" w:ascii="宋体" w:hAnsi="宋体" w:cs="Angsana New"/>
          <w:b/>
          <w:sz w:val="24"/>
          <w:szCs w:val="24"/>
          <w:lang w:bidi="th-TH"/>
        </w:rPr>
        <w:t>（二）教学考核评价</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深入贯彻落实《深化新时代教育评价改革总体方案》，改进结果评价，强化过程评价，探索增值评价，健全综合评价；探索多主体评价；鼓励专业（技能）课程考核与社会考证相结合；公共基础课程建立试题库，探索教考分离，依托线上平台和软件工具，运用大数据、人工智能等现代信息技术，开展教与学行为分析。</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1.以实践性教学环节的考核为中心，形成项目完成过程的职业素养评价、个人评价、小组评价相结合的过程评价体系。</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2.建立能激励学生学习兴趣和自主学习能力发展的个人评价考核方案，注重个人学习方式、效率、个性的发挥状况、个人进步程度等综合评价，并对在学习和应用上有创新的学生给予鼓励。</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3.将小组考核纳入个人成绩，激励团队合作精神培养。</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4.注重学生的职业素质考核，体现职业教育的职业性。</w:t>
      </w:r>
    </w:p>
    <w:p>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具体考核方式为：过程性考核+总结性考核+增值性评价</w:t>
      </w:r>
    </w:p>
    <w:p>
      <w:pPr>
        <w:adjustRightInd w:val="0"/>
        <w:snapToGrid w:val="0"/>
        <w:spacing w:before="156" w:beforeLines="50" w:after="156" w:afterLines="50"/>
        <w:ind w:firstLine="480" w:firstLineChars="200"/>
        <w:outlineLvl w:val="1"/>
        <w:rPr>
          <w:rFonts w:ascii="宋体" w:hAnsi="宋体" w:cs="Angsana New"/>
          <w:b/>
          <w:sz w:val="24"/>
          <w:szCs w:val="24"/>
          <w:lang w:bidi="th-TH"/>
        </w:rPr>
      </w:pPr>
      <w:r>
        <w:rPr>
          <w:rFonts w:hint="eastAsia" w:ascii="宋体" w:hAnsi="宋体" w:cs="Angsana New"/>
          <w:b/>
          <w:sz w:val="24"/>
          <w:szCs w:val="24"/>
          <w:lang w:bidi="th-TH"/>
        </w:rPr>
        <w:t>（三）教学管理</w:t>
      </w:r>
    </w:p>
    <w:p>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pPr>
        <w:spacing w:before="156" w:beforeLines="50" w:after="156" w:afterLines="50"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bidi="th-TH"/>
        </w:rPr>
        <w:t>十、质量保障</w:t>
      </w:r>
    </w:p>
    <w:p>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(3）学校应建立毕业生跟踪反馈机制及社会评价机制，并对生源情况、在校生学业水平、毕业生就业情况等进行分析，定期评价人才培养质量和培养目标达成情况。</w:t>
      </w:r>
    </w:p>
    <w:p>
      <w:pPr>
        <w:adjustRightInd w:val="0"/>
        <w:snapToGrid w:val="0"/>
        <w:spacing w:line="360" w:lineRule="auto"/>
        <w:ind w:firstLine="480" w:firstLineChars="200"/>
        <w:outlineLvl w:val="0"/>
        <w:rPr>
          <w:rFonts w:hint="default" w:ascii="宋体" w:hAnsi="宋体" w:eastAsia="宋体" w:cs="Angsana New"/>
          <w:sz w:val="24"/>
          <w:szCs w:val="24"/>
          <w:lang w:val="en-US" w:eastAsia="zh-CN" w:bidi="th-TH"/>
        </w:rPr>
      </w:pPr>
      <w:r>
        <w:rPr>
          <w:rFonts w:hint="eastAsia" w:ascii="宋体" w:hAnsi="宋体" w:cs="Angsana New"/>
          <w:sz w:val="24"/>
          <w:szCs w:val="24"/>
          <w:lang w:bidi="th-TH"/>
        </w:rPr>
        <w:t>(4）专业教研组织应充分利用评价分析结果有效改进专业教学，持续提高人才培养质量。</w:t>
      </w:r>
      <w:r>
        <w:rPr>
          <w:rFonts w:hint="eastAsia" w:ascii="宋体" w:hAnsi="宋体" w:cs="Angsana New"/>
          <w:sz w:val="24"/>
          <w:szCs w:val="24"/>
          <w:lang w:val="en-US" w:eastAsia="zh-CN" w:bidi="th-TH"/>
        </w:rPr>
        <w:t>考核方式分为过程性考核与终结性考核，适当引入增值性考核，具体方法参见课程标准</w:t>
      </w:r>
    </w:p>
    <w:p>
      <w:pPr>
        <w:spacing w:line="360" w:lineRule="auto"/>
        <w:ind w:firstLine="480" w:firstLineChars="200"/>
        <w:rPr>
          <w:rFonts w:asciiTheme="minorEastAsia" w:hAnsiTheme="minorEastAsia" w:eastAsiaTheme="minorEastAsia"/>
          <w:color w:val="000000" w:themeColor="text1"/>
          <w:sz w:val="24"/>
          <w:szCs w:val="24"/>
          <w14:textFill>
            <w14:solidFill>
              <w14:schemeClr w14:val="tx1"/>
            </w14:solidFill>
          </w14:textFill>
        </w:rPr>
      </w:pPr>
      <w:r>
        <w:rPr>
          <w:rFonts w:hint="eastAsia" w:ascii="宋体" w:hAnsi="宋体" w:cs="Angsana New"/>
          <w:sz w:val="24"/>
          <w:szCs w:val="24"/>
          <w:lang w:bidi="th-TH"/>
        </w:rPr>
        <w:t>建立质量保障机构质量保障中心，</w:t>
      </w:r>
      <w:r>
        <w:rPr>
          <w:rFonts w:asciiTheme="minorEastAsia" w:hAnsiTheme="minorEastAsia" w:eastAsiaTheme="minorEastAsia"/>
          <w:color w:val="000000" w:themeColor="text1"/>
          <w:sz w:val="24"/>
          <w:szCs w:val="24"/>
          <w14:textFill>
            <w14:solidFill>
              <w14:schemeClr w14:val="tx1"/>
            </w14:solidFill>
          </w14:textFill>
        </w:rPr>
        <w:t>学生评教平均1次/学期门</w:t>
      </w:r>
      <w:r>
        <w:rPr>
          <w:rFonts w:hint="eastAsia" w:asciiTheme="minorEastAsia" w:hAnsiTheme="minorEastAsia" w:eastAsiaTheme="minor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同行评教平均5次/学期</w:t>
      </w:r>
      <w:r>
        <w:rPr>
          <w:rFonts w:hint="eastAsia" w:asciiTheme="minorEastAsia" w:hAnsiTheme="minorEastAsia" w:eastAsiaTheme="minor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督导评教平均1次/学期</w:t>
      </w:r>
      <w:r>
        <w:rPr>
          <w:rFonts w:hint="eastAsia" w:asciiTheme="minorEastAsia" w:hAnsiTheme="minorEastAsia" w:eastAsiaTheme="minor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企业评教平均1次/学期</w:t>
      </w:r>
      <w:r>
        <w:rPr>
          <w:rFonts w:hint="eastAsia" w:asciiTheme="minorEastAsia" w:hAnsiTheme="minorEastAsia" w:eastAsiaTheme="minorEastAsia"/>
          <w:color w:val="000000" w:themeColor="text1"/>
          <w:sz w:val="24"/>
          <w:szCs w:val="24"/>
          <w14:textFill>
            <w14:solidFill>
              <w14:schemeClr w14:val="tx1"/>
            </w14:solidFill>
          </w14:textFill>
        </w:rPr>
        <w:t>。</w:t>
      </w:r>
    </w:p>
    <w:p>
      <w:pPr>
        <w:spacing w:before="156" w:beforeLines="50" w:after="156" w:afterLines="50" w:line="360" w:lineRule="auto"/>
        <w:ind w:firstLine="560" w:firstLineChars="200"/>
        <w:rPr>
          <w:rFonts w:ascii="黑体" w:hAnsi="黑体" w:eastAsia="黑体" w:cs="Angsana New"/>
          <w:bCs/>
          <w:sz w:val="28"/>
          <w:szCs w:val="28"/>
          <w:lang w:bidi="th-TH"/>
        </w:rPr>
      </w:pPr>
      <w:r>
        <w:rPr>
          <w:rFonts w:hint="eastAsia" w:ascii="黑体" w:hAnsi="黑体" w:eastAsia="黑体" w:cs="Angsana New"/>
          <w:bCs/>
          <w:sz w:val="28"/>
          <w:szCs w:val="28"/>
          <w:lang w:bidi="th-TH"/>
        </w:rPr>
        <w:t>十</w:t>
      </w:r>
      <w:r>
        <w:rPr>
          <w:rFonts w:hint="eastAsia" w:ascii="黑体" w:hAnsi="黑体" w:eastAsia="黑体" w:cs="Angsana New"/>
          <w:bCs/>
          <w:sz w:val="28"/>
          <w:szCs w:val="28"/>
          <w:lang w:val="en-US" w:eastAsia="zh-CN" w:bidi="th-TH"/>
        </w:rPr>
        <w:t>一</w:t>
      </w:r>
      <w:r>
        <w:rPr>
          <w:rFonts w:ascii="黑体" w:hAnsi="黑体" w:eastAsia="黑体" w:cs="Angsana New"/>
          <w:bCs/>
          <w:sz w:val="28"/>
          <w:szCs w:val="28"/>
          <w:lang w:bidi="th-TH"/>
        </w:rPr>
        <w:t>、</w:t>
      </w:r>
      <w:r>
        <w:rPr>
          <w:rFonts w:hint="eastAsia" w:ascii="黑体" w:hAnsi="黑体" w:eastAsia="黑体" w:cs="Angsana New"/>
          <w:bCs/>
          <w:sz w:val="28"/>
          <w:szCs w:val="28"/>
          <w:lang w:bidi="th-TH"/>
        </w:rPr>
        <w:t>附录</w:t>
      </w:r>
    </w:p>
    <w:p>
      <w:pPr>
        <w:spacing w:line="360" w:lineRule="auto"/>
        <w:ind w:firstLine="480" w:firstLineChars="200"/>
        <w:rPr>
          <w:rFonts w:ascii="宋体" w:hAnsi="宋体" w:cs="Angsana New"/>
          <w:sz w:val="24"/>
          <w:szCs w:val="24"/>
          <w:lang w:bidi="th-TH"/>
        </w:rPr>
      </w:pPr>
      <w:r>
        <w:rPr>
          <w:rFonts w:ascii="宋体" w:hAnsi="宋体" w:cs="Angsana New"/>
          <w:sz w:val="24"/>
          <w:szCs w:val="24"/>
          <w:lang w:bidi="th-TH"/>
        </w:rPr>
        <w:t>包括</w:t>
      </w:r>
      <w:r>
        <w:rPr>
          <w:rFonts w:hint="eastAsia" w:ascii="宋体" w:hAnsi="宋体" w:cs="Angsana New"/>
          <w:sz w:val="24"/>
          <w:szCs w:val="24"/>
          <w:lang w:bidi="th-TH"/>
        </w:rPr>
        <w:t>专业</w:t>
      </w:r>
      <w:r>
        <w:rPr>
          <w:rFonts w:ascii="宋体" w:hAnsi="宋体" w:cs="Angsana New"/>
          <w:sz w:val="24"/>
          <w:szCs w:val="24"/>
          <w:lang w:bidi="th-TH"/>
        </w:rPr>
        <w:t>教学</w:t>
      </w:r>
      <w:r>
        <w:rPr>
          <w:rFonts w:hint="eastAsia" w:ascii="宋体" w:hAnsi="宋体" w:cs="Angsana New"/>
          <w:sz w:val="24"/>
          <w:szCs w:val="24"/>
          <w:lang w:bidi="th-TH"/>
        </w:rPr>
        <w:t>进程安排</w:t>
      </w:r>
      <w:r>
        <w:rPr>
          <w:rFonts w:ascii="宋体" w:hAnsi="宋体" w:cs="Angsana New"/>
          <w:sz w:val="24"/>
          <w:szCs w:val="24"/>
          <w:lang w:bidi="th-TH"/>
        </w:rPr>
        <w:t>表、</w:t>
      </w:r>
      <w:r>
        <w:rPr>
          <w:rFonts w:hint="eastAsia" w:ascii="宋体" w:hAnsi="宋体" w:cs="Angsana New"/>
          <w:sz w:val="24"/>
          <w:szCs w:val="24"/>
          <w:lang w:bidi="th-TH"/>
        </w:rPr>
        <w:t>专业人才培养方案</w:t>
      </w:r>
      <w:r>
        <w:rPr>
          <w:rFonts w:ascii="宋体" w:hAnsi="宋体" w:cs="Angsana New"/>
          <w:sz w:val="24"/>
          <w:szCs w:val="24"/>
          <w:lang w:bidi="th-TH"/>
        </w:rPr>
        <w:t>变更审批表等</w:t>
      </w:r>
    </w:p>
    <w:sectPr>
      <w:pgSz w:w="11906" w:h="16838"/>
      <w:pgMar w:top="1417" w:right="1701" w:bottom="1417" w:left="1701" w:header="851" w:footer="992" w:gutter="0"/>
      <w:cols w:space="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不改名" w:date="2025-06-22T20:57:09Z" w:initials="">
    <w:p w14:paraId="7FCD8166">
      <w:pPr>
        <w:pStyle w:val="6"/>
        <w:rPr>
          <w:rFonts w:hint="default" w:eastAsia="宋体"/>
          <w:lang w:val="en-US" w:eastAsia="zh-CN"/>
        </w:rPr>
      </w:pPr>
      <w:r>
        <w:rPr>
          <w:rFonts w:hint="eastAsia"/>
          <w:lang w:val="en-US" w:eastAsia="zh-CN"/>
        </w:rPr>
        <w:t>现夏季学期取消，此表如何处理还请教务处示下</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FCD816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mbria">
    <w:altName w:val="苹方-简"/>
    <w:panose1 w:val="02040503050406030204"/>
    <w:charset w:val="00"/>
    <w:family w:val="roman"/>
    <w:pitch w:val="default"/>
    <w:sig w:usb0="00000000" w:usb1="00000000" w:usb2="02000000" w:usb3="00000000" w:csb0="2000019F" w:csb1="00000000"/>
  </w:font>
  <w:font w:name="楷体_GB2312">
    <w:altName w:val="汉仪楷体简"/>
    <w:panose1 w:val="02010609030101010101"/>
    <w:charset w:val="86"/>
    <w:family w:val="modern"/>
    <w:pitch w:val="default"/>
    <w:sig w:usb0="00000000" w:usb1="00000000" w:usb2="00000000" w:usb3="00000000" w:csb0="00040000" w:csb1="00000000"/>
  </w:font>
  <w:font w:name="Angsana New">
    <w:altName w:val="Tahoma"/>
    <w:panose1 w:val="02020603050405020304"/>
    <w:charset w:val="DE"/>
    <w:family w:val="roman"/>
    <w:pitch w:val="default"/>
    <w:sig w:usb0="00000000" w:usb1="00000000" w:usb2="00000000" w:usb3="00000000" w:csb0="00010001" w:csb1="00000000"/>
  </w:font>
  <w:font w:name="仿宋">
    <w:altName w:val="方正仿宋_GBK"/>
    <w:panose1 w:val="02010609060101010101"/>
    <w:charset w:val="86"/>
    <w:family w:val="modern"/>
    <w:pitch w:val="default"/>
    <w:sig w:usb0="00000000" w:usb1="00000000" w:usb2="00000016" w:usb3="00000000" w:csb0="00040001" w:csb1="00000000"/>
  </w:font>
  <w:font w:name="Microsoft JhengHei">
    <w:altName w:val="汉仪中简黑简"/>
    <w:panose1 w:val="020B0604030504040204"/>
    <w:charset w:val="88"/>
    <w:family w:val="swiss"/>
    <w:pitch w:val="default"/>
    <w:sig w:usb0="00000000" w:usb1="00000000" w:usb2="00000016" w:usb3="00000000" w:csb0="00100009"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苹方-简">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方正仿宋_GBK">
    <w:panose1 w:val="02000000000000000000"/>
    <w:charset w:val="86"/>
    <w:family w:val="auto"/>
    <w:pitch w:val="default"/>
    <w:sig w:usb0="A00002BF" w:usb1="38CF7CFA" w:usb2="00082016" w:usb3="00000000" w:csb0="00040001" w:csb1="00000000"/>
  </w:font>
  <w:font w:name="汉仪中简黑简">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separate"/>
    </w:r>
    <w:r>
      <w:rPr>
        <w:rStyle w:val="16"/>
      </w:rPr>
      <w:t>17</w:t>
    </w:r>
    <w:r>
      <w:rPr>
        <w:rStyle w:val="16"/>
      </w:rPr>
      <w:fldChar w:fldCharType="end"/>
    </w:r>
  </w:p>
  <w:p>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19BD46"/>
    <w:multiLevelType w:val="singleLevel"/>
    <w:tmpl w:val="B119BD46"/>
    <w:lvl w:ilvl="0" w:tentative="0">
      <w:start w:val="3"/>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不改名">
    <w15:presenceInfo w15:providerId="WPS Office" w15:userId="15479315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1MjFmN2RlZWQ2NmQ4NmE5NmZlNzgxNjY2ODA3Y2EifQ=="/>
  </w:docVars>
  <w:rsids>
    <w:rsidRoot w:val="00095426"/>
    <w:rsid w:val="00003762"/>
    <w:rsid w:val="00006851"/>
    <w:rsid w:val="00013C14"/>
    <w:rsid w:val="000227B9"/>
    <w:rsid w:val="0002744F"/>
    <w:rsid w:val="00027854"/>
    <w:rsid w:val="00027E1C"/>
    <w:rsid w:val="0003108A"/>
    <w:rsid w:val="00031140"/>
    <w:rsid w:val="00042F87"/>
    <w:rsid w:val="00051348"/>
    <w:rsid w:val="00054C43"/>
    <w:rsid w:val="000702F3"/>
    <w:rsid w:val="0007194E"/>
    <w:rsid w:val="000754C0"/>
    <w:rsid w:val="000801DB"/>
    <w:rsid w:val="00092446"/>
    <w:rsid w:val="00092736"/>
    <w:rsid w:val="00095426"/>
    <w:rsid w:val="0009652D"/>
    <w:rsid w:val="000A0230"/>
    <w:rsid w:val="000A08E3"/>
    <w:rsid w:val="000B66A6"/>
    <w:rsid w:val="000C1FE4"/>
    <w:rsid w:val="000C672E"/>
    <w:rsid w:val="000C79BB"/>
    <w:rsid w:val="000D689E"/>
    <w:rsid w:val="000E3166"/>
    <w:rsid w:val="000E54C6"/>
    <w:rsid w:val="000F010F"/>
    <w:rsid w:val="00102110"/>
    <w:rsid w:val="00110B3D"/>
    <w:rsid w:val="00116250"/>
    <w:rsid w:val="00125D6D"/>
    <w:rsid w:val="00127568"/>
    <w:rsid w:val="00133502"/>
    <w:rsid w:val="001364F6"/>
    <w:rsid w:val="00136C2B"/>
    <w:rsid w:val="0015093B"/>
    <w:rsid w:val="00152B54"/>
    <w:rsid w:val="001540B5"/>
    <w:rsid w:val="00154AAD"/>
    <w:rsid w:val="00160C24"/>
    <w:rsid w:val="00161B2D"/>
    <w:rsid w:val="00163BB2"/>
    <w:rsid w:val="00165BE4"/>
    <w:rsid w:val="0016684F"/>
    <w:rsid w:val="001824DA"/>
    <w:rsid w:val="00183DF7"/>
    <w:rsid w:val="00185C2E"/>
    <w:rsid w:val="001941C3"/>
    <w:rsid w:val="001A1240"/>
    <w:rsid w:val="001B2194"/>
    <w:rsid w:val="001B418D"/>
    <w:rsid w:val="001C61D2"/>
    <w:rsid w:val="001D03EE"/>
    <w:rsid w:val="001D06C2"/>
    <w:rsid w:val="001D2141"/>
    <w:rsid w:val="001D7D5D"/>
    <w:rsid w:val="001E14DB"/>
    <w:rsid w:val="001E3B32"/>
    <w:rsid w:val="001E5A08"/>
    <w:rsid w:val="001E630C"/>
    <w:rsid w:val="001E6A69"/>
    <w:rsid w:val="001F04E0"/>
    <w:rsid w:val="00214357"/>
    <w:rsid w:val="0022040F"/>
    <w:rsid w:val="002341EB"/>
    <w:rsid w:val="002344E0"/>
    <w:rsid w:val="0023604D"/>
    <w:rsid w:val="00243139"/>
    <w:rsid w:val="00245E7C"/>
    <w:rsid w:val="002473C9"/>
    <w:rsid w:val="002501C3"/>
    <w:rsid w:val="00262E34"/>
    <w:rsid w:val="002802F4"/>
    <w:rsid w:val="00281038"/>
    <w:rsid w:val="0028666E"/>
    <w:rsid w:val="002934DE"/>
    <w:rsid w:val="002946D0"/>
    <w:rsid w:val="0029591A"/>
    <w:rsid w:val="002A405C"/>
    <w:rsid w:val="002B00CD"/>
    <w:rsid w:val="002B01AC"/>
    <w:rsid w:val="002B0A9E"/>
    <w:rsid w:val="002B3546"/>
    <w:rsid w:val="002D17C0"/>
    <w:rsid w:val="002F070C"/>
    <w:rsid w:val="002F0AB1"/>
    <w:rsid w:val="002F7D36"/>
    <w:rsid w:val="0030215A"/>
    <w:rsid w:val="00305E6D"/>
    <w:rsid w:val="00306FC8"/>
    <w:rsid w:val="003071C0"/>
    <w:rsid w:val="00316571"/>
    <w:rsid w:val="00317C69"/>
    <w:rsid w:val="00324468"/>
    <w:rsid w:val="00331229"/>
    <w:rsid w:val="00341ABF"/>
    <w:rsid w:val="00343FFE"/>
    <w:rsid w:val="00350796"/>
    <w:rsid w:val="003663E1"/>
    <w:rsid w:val="0036697C"/>
    <w:rsid w:val="00367180"/>
    <w:rsid w:val="0037141C"/>
    <w:rsid w:val="00371EA9"/>
    <w:rsid w:val="0038090A"/>
    <w:rsid w:val="00391C2D"/>
    <w:rsid w:val="003931CF"/>
    <w:rsid w:val="0039349A"/>
    <w:rsid w:val="00395A47"/>
    <w:rsid w:val="003A3A05"/>
    <w:rsid w:val="003C2FE2"/>
    <w:rsid w:val="003D5C76"/>
    <w:rsid w:val="003E6B2B"/>
    <w:rsid w:val="003F34C5"/>
    <w:rsid w:val="00401767"/>
    <w:rsid w:val="00401F35"/>
    <w:rsid w:val="00402562"/>
    <w:rsid w:val="00411F31"/>
    <w:rsid w:val="004374B4"/>
    <w:rsid w:val="0044014D"/>
    <w:rsid w:val="004525DF"/>
    <w:rsid w:val="00453CE9"/>
    <w:rsid w:val="00466DD7"/>
    <w:rsid w:val="0046773A"/>
    <w:rsid w:val="00475907"/>
    <w:rsid w:val="00480D8F"/>
    <w:rsid w:val="004850D3"/>
    <w:rsid w:val="004866B8"/>
    <w:rsid w:val="00491FD1"/>
    <w:rsid w:val="00492AEC"/>
    <w:rsid w:val="004A1A50"/>
    <w:rsid w:val="004A5A38"/>
    <w:rsid w:val="004A7641"/>
    <w:rsid w:val="004B6A7B"/>
    <w:rsid w:val="004C33F6"/>
    <w:rsid w:val="004E245F"/>
    <w:rsid w:val="004F2701"/>
    <w:rsid w:val="004F4B41"/>
    <w:rsid w:val="00503CAF"/>
    <w:rsid w:val="00505CC6"/>
    <w:rsid w:val="00512C4D"/>
    <w:rsid w:val="00520ED7"/>
    <w:rsid w:val="00521ED7"/>
    <w:rsid w:val="00522C96"/>
    <w:rsid w:val="00532C38"/>
    <w:rsid w:val="005337C3"/>
    <w:rsid w:val="005623AA"/>
    <w:rsid w:val="00562812"/>
    <w:rsid w:val="00564419"/>
    <w:rsid w:val="0056526D"/>
    <w:rsid w:val="00572DD3"/>
    <w:rsid w:val="00580BB1"/>
    <w:rsid w:val="005823A7"/>
    <w:rsid w:val="00585BC8"/>
    <w:rsid w:val="00592197"/>
    <w:rsid w:val="005948F3"/>
    <w:rsid w:val="0059576B"/>
    <w:rsid w:val="005A6CDA"/>
    <w:rsid w:val="005B7DCA"/>
    <w:rsid w:val="005C1134"/>
    <w:rsid w:val="005C46CD"/>
    <w:rsid w:val="005D0B68"/>
    <w:rsid w:val="005D1FFF"/>
    <w:rsid w:val="005D2EF4"/>
    <w:rsid w:val="005D3D43"/>
    <w:rsid w:val="005D4A40"/>
    <w:rsid w:val="005D4A90"/>
    <w:rsid w:val="005F275B"/>
    <w:rsid w:val="005F7872"/>
    <w:rsid w:val="00604C21"/>
    <w:rsid w:val="00605FB7"/>
    <w:rsid w:val="00610F70"/>
    <w:rsid w:val="006139BA"/>
    <w:rsid w:val="00614456"/>
    <w:rsid w:val="00627E04"/>
    <w:rsid w:val="00635598"/>
    <w:rsid w:val="00637224"/>
    <w:rsid w:val="00640172"/>
    <w:rsid w:val="00641385"/>
    <w:rsid w:val="0064139F"/>
    <w:rsid w:val="00642B8B"/>
    <w:rsid w:val="00646401"/>
    <w:rsid w:val="00651AAA"/>
    <w:rsid w:val="006571BA"/>
    <w:rsid w:val="00657B30"/>
    <w:rsid w:val="00667EDD"/>
    <w:rsid w:val="00675C83"/>
    <w:rsid w:val="006776C0"/>
    <w:rsid w:val="0068474C"/>
    <w:rsid w:val="00693CC9"/>
    <w:rsid w:val="006940D5"/>
    <w:rsid w:val="006A0439"/>
    <w:rsid w:val="006A36BD"/>
    <w:rsid w:val="006B5F83"/>
    <w:rsid w:val="006D3F57"/>
    <w:rsid w:val="006D4A41"/>
    <w:rsid w:val="006D4BA3"/>
    <w:rsid w:val="006D5C96"/>
    <w:rsid w:val="006E022D"/>
    <w:rsid w:val="006E05B8"/>
    <w:rsid w:val="006E451F"/>
    <w:rsid w:val="006E46C1"/>
    <w:rsid w:val="006F4B09"/>
    <w:rsid w:val="00700EF6"/>
    <w:rsid w:val="00711275"/>
    <w:rsid w:val="00716CA7"/>
    <w:rsid w:val="0072677E"/>
    <w:rsid w:val="007268F0"/>
    <w:rsid w:val="0072763C"/>
    <w:rsid w:val="007334F3"/>
    <w:rsid w:val="007338F2"/>
    <w:rsid w:val="00740869"/>
    <w:rsid w:val="007453F6"/>
    <w:rsid w:val="00756DEE"/>
    <w:rsid w:val="0076061B"/>
    <w:rsid w:val="007631AE"/>
    <w:rsid w:val="00763C74"/>
    <w:rsid w:val="007642CE"/>
    <w:rsid w:val="00770507"/>
    <w:rsid w:val="00771217"/>
    <w:rsid w:val="007753E8"/>
    <w:rsid w:val="00781B7D"/>
    <w:rsid w:val="00784A2A"/>
    <w:rsid w:val="00785EF3"/>
    <w:rsid w:val="00790712"/>
    <w:rsid w:val="007927DC"/>
    <w:rsid w:val="007A3959"/>
    <w:rsid w:val="007B12FD"/>
    <w:rsid w:val="007B25E9"/>
    <w:rsid w:val="007B2ABD"/>
    <w:rsid w:val="007C1767"/>
    <w:rsid w:val="007D6BF6"/>
    <w:rsid w:val="007E069B"/>
    <w:rsid w:val="007E5CFB"/>
    <w:rsid w:val="007F6F61"/>
    <w:rsid w:val="008115DD"/>
    <w:rsid w:val="008140DE"/>
    <w:rsid w:val="008151DF"/>
    <w:rsid w:val="00836708"/>
    <w:rsid w:val="0085138E"/>
    <w:rsid w:val="00856281"/>
    <w:rsid w:val="00870099"/>
    <w:rsid w:val="00870749"/>
    <w:rsid w:val="0087201C"/>
    <w:rsid w:val="008729D2"/>
    <w:rsid w:val="00881A4B"/>
    <w:rsid w:val="00885EAC"/>
    <w:rsid w:val="008949E2"/>
    <w:rsid w:val="00894E1A"/>
    <w:rsid w:val="008A1280"/>
    <w:rsid w:val="008A2156"/>
    <w:rsid w:val="008A32B9"/>
    <w:rsid w:val="008A3578"/>
    <w:rsid w:val="008B7CFD"/>
    <w:rsid w:val="008C2B6E"/>
    <w:rsid w:val="008D11A3"/>
    <w:rsid w:val="008D16C8"/>
    <w:rsid w:val="008E6FDD"/>
    <w:rsid w:val="00900A28"/>
    <w:rsid w:val="00910210"/>
    <w:rsid w:val="0091129A"/>
    <w:rsid w:val="0091414C"/>
    <w:rsid w:val="00923177"/>
    <w:rsid w:val="00926709"/>
    <w:rsid w:val="0093347A"/>
    <w:rsid w:val="0093679F"/>
    <w:rsid w:val="00940122"/>
    <w:rsid w:val="00942BBD"/>
    <w:rsid w:val="009438A1"/>
    <w:rsid w:val="009512E6"/>
    <w:rsid w:val="009537A5"/>
    <w:rsid w:val="00953B3D"/>
    <w:rsid w:val="0095727A"/>
    <w:rsid w:val="00963AA1"/>
    <w:rsid w:val="00964A8D"/>
    <w:rsid w:val="00964BD2"/>
    <w:rsid w:val="00992E98"/>
    <w:rsid w:val="00993938"/>
    <w:rsid w:val="00996DDE"/>
    <w:rsid w:val="009A323D"/>
    <w:rsid w:val="009A55DC"/>
    <w:rsid w:val="009B3F73"/>
    <w:rsid w:val="009B4B3A"/>
    <w:rsid w:val="009B6956"/>
    <w:rsid w:val="009C504F"/>
    <w:rsid w:val="009C6796"/>
    <w:rsid w:val="009C6E80"/>
    <w:rsid w:val="009D4F91"/>
    <w:rsid w:val="009D5874"/>
    <w:rsid w:val="009E4573"/>
    <w:rsid w:val="009F079E"/>
    <w:rsid w:val="009F4915"/>
    <w:rsid w:val="009F5CC3"/>
    <w:rsid w:val="009F77F6"/>
    <w:rsid w:val="00A037C9"/>
    <w:rsid w:val="00A05470"/>
    <w:rsid w:val="00A06029"/>
    <w:rsid w:val="00A06C56"/>
    <w:rsid w:val="00A12AB8"/>
    <w:rsid w:val="00A17DFA"/>
    <w:rsid w:val="00A23CA1"/>
    <w:rsid w:val="00A31253"/>
    <w:rsid w:val="00A41727"/>
    <w:rsid w:val="00A42774"/>
    <w:rsid w:val="00A43769"/>
    <w:rsid w:val="00A55768"/>
    <w:rsid w:val="00A56E93"/>
    <w:rsid w:val="00A653CA"/>
    <w:rsid w:val="00A72CE6"/>
    <w:rsid w:val="00A74C92"/>
    <w:rsid w:val="00A80785"/>
    <w:rsid w:val="00A9566E"/>
    <w:rsid w:val="00AA1C48"/>
    <w:rsid w:val="00AA2878"/>
    <w:rsid w:val="00AA5CA5"/>
    <w:rsid w:val="00AA7DEB"/>
    <w:rsid w:val="00AB2C4A"/>
    <w:rsid w:val="00AB5853"/>
    <w:rsid w:val="00AB6C7A"/>
    <w:rsid w:val="00AC4B24"/>
    <w:rsid w:val="00AC66A3"/>
    <w:rsid w:val="00AD7217"/>
    <w:rsid w:val="00AE1EEB"/>
    <w:rsid w:val="00AE3EB9"/>
    <w:rsid w:val="00AE3FED"/>
    <w:rsid w:val="00AF1E67"/>
    <w:rsid w:val="00AF3235"/>
    <w:rsid w:val="00B10C5B"/>
    <w:rsid w:val="00B207A2"/>
    <w:rsid w:val="00B237EE"/>
    <w:rsid w:val="00B247F7"/>
    <w:rsid w:val="00B25C97"/>
    <w:rsid w:val="00B26D70"/>
    <w:rsid w:val="00B30734"/>
    <w:rsid w:val="00B37A38"/>
    <w:rsid w:val="00B41B2D"/>
    <w:rsid w:val="00B46B81"/>
    <w:rsid w:val="00B50584"/>
    <w:rsid w:val="00B617CF"/>
    <w:rsid w:val="00B668CC"/>
    <w:rsid w:val="00B71F67"/>
    <w:rsid w:val="00B74AA1"/>
    <w:rsid w:val="00B87E8E"/>
    <w:rsid w:val="00B90FEC"/>
    <w:rsid w:val="00B96312"/>
    <w:rsid w:val="00BB0290"/>
    <w:rsid w:val="00BB0CE4"/>
    <w:rsid w:val="00BC0675"/>
    <w:rsid w:val="00BC2532"/>
    <w:rsid w:val="00BD028D"/>
    <w:rsid w:val="00BD247E"/>
    <w:rsid w:val="00BE2E14"/>
    <w:rsid w:val="00BE5CF4"/>
    <w:rsid w:val="00BF05B2"/>
    <w:rsid w:val="00BF6BDC"/>
    <w:rsid w:val="00C019F3"/>
    <w:rsid w:val="00C027AC"/>
    <w:rsid w:val="00C03900"/>
    <w:rsid w:val="00C213C5"/>
    <w:rsid w:val="00C263F1"/>
    <w:rsid w:val="00C272DF"/>
    <w:rsid w:val="00C328B2"/>
    <w:rsid w:val="00C34340"/>
    <w:rsid w:val="00C35F6B"/>
    <w:rsid w:val="00C36C99"/>
    <w:rsid w:val="00C4528D"/>
    <w:rsid w:val="00C467B8"/>
    <w:rsid w:val="00C532E0"/>
    <w:rsid w:val="00C53493"/>
    <w:rsid w:val="00C54EC5"/>
    <w:rsid w:val="00C66D49"/>
    <w:rsid w:val="00C67F92"/>
    <w:rsid w:val="00C70BE8"/>
    <w:rsid w:val="00C76457"/>
    <w:rsid w:val="00C871DC"/>
    <w:rsid w:val="00C92497"/>
    <w:rsid w:val="00CA0564"/>
    <w:rsid w:val="00CA2F6F"/>
    <w:rsid w:val="00CB2518"/>
    <w:rsid w:val="00CB727C"/>
    <w:rsid w:val="00CB7847"/>
    <w:rsid w:val="00CC2BE4"/>
    <w:rsid w:val="00CE3A4C"/>
    <w:rsid w:val="00CE7B24"/>
    <w:rsid w:val="00CF5EC1"/>
    <w:rsid w:val="00D12DD6"/>
    <w:rsid w:val="00D15EB2"/>
    <w:rsid w:val="00D173AC"/>
    <w:rsid w:val="00D22E19"/>
    <w:rsid w:val="00D23461"/>
    <w:rsid w:val="00D27907"/>
    <w:rsid w:val="00D32233"/>
    <w:rsid w:val="00D33650"/>
    <w:rsid w:val="00D430FB"/>
    <w:rsid w:val="00D51098"/>
    <w:rsid w:val="00D54D3C"/>
    <w:rsid w:val="00D57C2B"/>
    <w:rsid w:val="00D60975"/>
    <w:rsid w:val="00D80F72"/>
    <w:rsid w:val="00D8113D"/>
    <w:rsid w:val="00D83019"/>
    <w:rsid w:val="00D8431E"/>
    <w:rsid w:val="00D934FF"/>
    <w:rsid w:val="00D967F9"/>
    <w:rsid w:val="00D96815"/>
    <w:rsid w:val="00DA3D5E"/>
    <w:rsid w:val="00DA55B1"/>
    <w:rsid w:val="00DA5EE9"/>
    <w:rsid w:val="00DB3C0A"/>
    <w:rsid w:val="00DB63A8"/>
    <w:rsid w:val="00DC36FF"/>
    <w:rsid w:val="00DE3D48"/>
    <w:rsid w:val="00DF46C5"/>
    <w:rsid w:val="00E0762E"/>
    <w:rsid w:val="00E1259B"/>
    <w:rsid w:val="00E1519D"/>
    <w:rsid w:val="00E157DA"/>
    <w:rsid w:val="00E244B6"/>
    <w:rsid w:val="00E24792"/>
    <w:rsid w:val="00E25F04"/>
    <w:rsid w:val="00E41CF5"/>
    <w:rsid w:val="00E4333B"/>
    <w:rsid w:val="00E43B5F"/>
    <w:rsid w:val="00E4419D"/>
    <w:rsid w:val="00E44646"/>
    <w:rsid w:val="00E52B54"/>
    <w:rsid w:val="00E52CCF"/>
    <w:rsid w:val="00E65BCE"/>
    <w:rsid w:val="00E6685F"/>
    <w:rsid w:val="00E72549"/>
    <w:rsid w:val="00E76809"/>
    <w:rsid w:val="00E815A6"/>
    <w:rsid w:val="00E87700"/>
    <w:rsid w:val="00E91D8C"/>
    <w:rsid w:val="00E9465B"/>
    <w:rsid w:val="00E96513"/>
    <w:rsid w:val="00EA16E8"/>
    <w:rsid w:val="00EA3B4A"/>
    <w:rsid w:val="00EA45A5"/>
    <w:rsid w:val="00EA6F56"/>
    <w:rsid w:val="00EB290A"/>
    <w:rsid w:val="00EB3251"/>
    <w:rsid w:val="00EB47DD"/>
    <w:rsid w:val="00EB70E7"/>
    <w:rsid w:val="00ED1BBB"/>
    <w:rsid w:val="00ED58A5"/>
    <w:rsid w:val="00EF56AD"/>
    <w:rsid w:val="00F0075F"/>
    <w:rsid w:val="00F01E9F"/>
    <w:rsid w:val="00F17742"/>
    <w:rsid w:val="00F17CA7"/>
    <w:rsid w:val="00F20C42"/>
    <w:rsid w:val="00F2697F"/>
    <w:rsid w:val="00F2750F"/>
    <w:rsid w:val="00F32C9B"/>
    <w:rsid w:val="00F358B4"/>
    <w:rsid w:val="00F601BA"/>
    <w:rsid w:val="00F612AB"/>
    <w:rsid w:val="00F63B32"/>
    <w:rsid w:val="00F64B8B"/>
    <w:rsid w:val="00F74490"/>
    <w:rsid w:val="00F749FF"/>
    <w:rsid w:val="00F765FB"/>
    <w:rsid w:val="00F77025"/>
    <w:rsid w:val="00F83EBB"/>
    <w:rsid w:val="00F90860"/>
    <w:rsid w:val="00F91D47"/>
    <w:rsid w:val="00F97844"/>
    <w:rsid w:val="00FA3E80"/>
    <w:rsid w:val="00FB1BAE"/>
    <w:rsid w:val="00FB4B87"/>
    <w:rsid w:val="00FC521A"/>
    <w:rsid w:val="00FC5C2D"/>
    <w:rsid w:val="00FD1A35"/>
    <w:rsid w:val="00FF489E"/>
    <w:rsid w:val="059F180A"/>
    <w:rsid w:val="075B2249"/>
    <w:rsid w:val="079F6DB4"/>
    <w:rsid w:val="092F499C"/>
    <w:rsid w:val="0D161D8D"/>
    <w:rsid w:val="103B1CC9"/>
    <w:rsid w:val="12562E2D"/>
    <w:rsid w:val="12A97C65"/>
    <w:rsid w:val="197F70E6"/>
    <w:rsid w:val="1A442AF8"/>
    <w:rsid w:val="1D3C0E14"/>
    <w:rsid w:val="1D9A0AED"/>
    <w:rsid w:val="1F9525B5"/>
    <w:rsid w:val="221B616E"/>
    <w:rsid w:val="272B4B3D"/>
    <w:rsid w:val="2A637619"/>
    <w:rsid w:val="2ACF7163"/>
    <w:rsid w:val="2C0A4D8F"/>
    <w:rsid w:val="2DB60571"/>
    <w:rsid w:val="2DE20BB6"/>
    <w:rsid w:val="309A5CB3"/>
    <w:rsid w:val="3E050F0A"/>
    <w:rsid w:val="3F0044FB"/>
    <w:rsid w:val="3F693E6B"/>
    <w:rsid w:val="438B45CF"/>
    <w:rsid w:val="4ACA1E61"/>
    <w:rsid w:val="4CF31115"/>
    <w:rsid w:val="4E2912CA"/>
    <w:rsid w:val="50257B2F"/>
    <w:rsid w:val="57244328"/>
    <w:rsid w:val="589D5006"/>
    <w:rsid w:val="5BB067FD"/>
    <w:rsid w:val="61821187"/>
    <w:rsid w:val="63901CBD"/>
    <w:rsid w:val="672E733A"/>
    <w:rsid w:val="6C123536"/>
    <w:rsid w:val="6D0C4188"/>
    <w:rsid w:val="71CA3763"/>
    <w:rsid w:val="732B5F26"/>
    <w:rsid w:val="74103107"/>
    <w:rsid w:val="75F52CE2"/>
    <w:rsid w:val="7B886F11"/>
    <w:rsid w:val="7BDB10F3"/>
    <w:rsid w:val="7E212D3A"/>
    <w:rsid w:val="7FDD16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3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99"/>
    <w:pPr>
      <w:autoSpaceDE w:val="0"/>
      <w:autoSpaceDN w:val="0"/>
      <w:ind w:firstLine="420" w:firstLineChars="200"/>
      <w:jc w:val="left"/>
    </w:pPr>
    <w:rPr>
      <w:rFonts w:ascii="Times New Roman" w:hAnsi="Times New Roman" w:cs="宋体"/>
      <w:kern w:val="0"/>
      <w:sz w:val="20"/>
      <w:lang w:val="zh-CN" w:bidi="zh-CN"/>
    </w:rPr>
  </w:style>
  <w:style w:type="paragraph" w:styleId="6">
    <w:name w:val="annotation text"/>
    <w:basedOn w:val="1"/>
    <w:link w:val="28"/>
    <w:semiHidden/>
    <w:unhideWhenUsed/>
    <w:qFormat/>
    <w:uiPriority w:val="99"/>
    <w:pPr>
      <w:jc w:val="left"/>
    </w:pPr>
  </w:style>
  <w:style w:type="paragraph" w:styleId="7">
    <w:name w:val="Body Text"/>
    <w:basedOn w:val="1"/>
    <w:link w:val="27"/>
    <w:qFormat/>
    <w:uiPriority w:val="1"/>
    <w:pPr>
      <w:autoSpaceDE w:val="0"/>
      <w:autoSpaceDN w:val="0"/>
      <w:jc w:val="left"/>
    </w:pPr>
    <w:rPr>
      <w:rFonts w:ascii="宋体" w:hAnsi="宋体" w:cs="宋体"/>
      <w:kern w:val="0"/>
      <w:szCs w:val="21"/>
      <w:lang w:val="zh-CN" w:bidi="zh-CN"/>
    </w:rPr>
  </w:style>
  <w:style w:type="paragraph" w:styleId="8">
    <w:name w:val="Balloon Text"/>
    <w:basedOn w:val="1"/>
    <w:link w:val="24"/>
    <w:semiHidden/>
    <w:unhideWhenUsed/>
    <w:qFormat/>
    <w:uiPriority w:val="99"/>
    <w:rPr>
      <w:sz w:val="18"/>
      <w:szCs w:val="18"/>
    </w:rPr>
  </w:style>
  <w:style w:type="paragraph" w:styleId="9">
    <w:name w:val="footer"/>
    <w:basedOn w:val="1"/>
    <w:link w:val="18"/>
    <w:qFormat/>
    <w:uiPriority w:val="99"/>
    <w:pPr>
      <w:tabs>
        <w:tab w:val="center" w:pos="4153"/>
        <w:tab w:val="right" w:pos="8306"/>
      </w:tabs>
      <w:snapToGrid w:val="0"/>
      <w:jc w:val="left"/>
    </w:pPr>
    <w:rPr>
      <w:rFonts w:ascii="Times New Roman" w:hAnsi="Times New Roman"/>
      <w:sz w:val="18"/>
      <w:szCs w:val="18"/>
    </w:rPr>
  </w:style>
  <w:style w:type="paragraph" w:styleId="10">
    <w:name w:val="header"/>
    <w:basedOn w:val="1"/>
    <w:link w:val="19"/>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1">
    <w:name w:val="annotation subject"/>
    <w:basedOn w:val="6"/>
    <w:next w:val="6"/>
    <w:link w:val="29"/>
    <w:semiHidden/>
    <w:unhideWhenUsed/>
    <w:qFormat/>
    <w:uiPriority w:val="99"/>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rPr>
  </w:style>
  <w:style w:type="character" w:styleId="16">
    <w:name w:val="page number"/>
    <w:basedOn w:val="14"/>
    <w:qFormat/>
    <w:uiPriority w:val="99"/>
    <w:rPr>
      <w:rFonts w:cs="Times New Roman"/>
    </w:rPr>
  </w:style>
  <w:style w:type="character" w:styleId="17">
    <w:name w:val="annotation reference"/>
    <w:basedOn w:val="14"/>
    <w:semiHidden/>
    <w:unhideWhenUsed/>
    <w:qFormat/>
    <w:uiPriority w:val="99"/>
    <w:rPr>
      <w:sz w:val="21"/>
      <w:szCs w:val="21"/>
    </w:rPr>
  </w:style>
  <w:style w:type="character" w:customStyle="1" w:styleId="18">
    <w:name w:val="页脚 字符"/>
    <w:basedOn w:val="14"/>
    <w:link w:val="9"/>
    <w:qFormat/>
    <w:uiPriority w:val="99"/>
    <w:rPr>
      <w:rFonts w:ascii="Times New Roman" w:hAnsi="Times New Roman" w:eastAsia="宋体" w:cs="Times New Roman"/>
      <w:sz w:val="18"/>
      <w:szCs w:val="18"/>
    </w:rPr>
  </w:style>
  <w:style w:type="character" w:customStyle="1" w:styleId="19">
    <w:name w:val="页眉 字符"/>
    <w:basedOn w:val="14"/>
    <w:link w:val="10"/>
    <w:qFormat/>
    <w:uiPriority w:val="99"/>
    <w:rPr>
      <w:rFonts w:ascii="Times New Roman" w:hAnsi="Times New Roman" w:eastAsia="宋体" w:cs="Times New Roman"/>
      <w:sz w:val="18"/>
      <w:szCs w:val="18"/>
    </w:rPr>
  </w:style>
  <w:style w:type="paragraph" w:customStyle="1" w:styleId="20">
    <w:name w:val="Char Char Char Char Char Char Char Char2 Char3 Char Char Char"/>
    <w:basedOn w:val="1"/>
    <w:qFormat/>
    <w:uiPriority w:val="0"/>
    <w:pPr>
      <w:adjustRightInd w:val="0"/>
      <w:snapToGrid w:val="0"/>
      <w:spacing w:line="312" w:lineRule="auto"/>
      <w:ind w:firstLine="200" w:firstLineChars="200"/>
    </w:pPr>
    <w:rPr>
      <w:sz w:val="24"/>
      <w:szCs w:val="21"/>
    </w:rPr>
  </w:style>
  <w:style w:type="paragraph" w:customStyle="1" w:styleId="21">
    <w:name w:val="Char Char Char Char Char Char Char Char2 Char3 Char Char Char1"/>
    <w:basedOn w:val="1"/>
    <w:qFormat/>
    <w:uiPriority w:val="0"/>
    <w:pPr>
      <w:adjustRightInd w:val="0"/>
      <w:snapToGrid w:val="0"/>
      <w:spacing w:line="312" w:lineRule="auto"/>
      <w:ind w:firstLine="200" w:firstLineChars="200"/>
    </w:pPr>
    <w:rPr>
      <w:sz w:val="24"/>
      <w:szCs w:val="21"/>
    </w:rPr>
  </w:style>
  <w:style w:type="paragraph" w:customStyle="1" w:styleId="22">
    <w:name w:val="Table Paragraph"/>
    <w:basedOn w:val="1"/>
    <w:qFormat/>
    <w:uiPriority w:val="1"/>
    <w:pPr>
      <w:adjustRightInd w:val="0"/>
      <w:snapToGrid w:val="0"/>
      <w:spacing w:line="312" w:lineRule="auto"/>
      <w:ind w:left="106" w:firstLine="200" w:firstLineChars="200"/>
    </w:pPr>
    <w:rPr>
      <w:rFonts w:ascii="宋体" w:hAnsi="宋体" w:cs="宋体"/>
      <w:sz w:val="24"/>
      <w:szCs w:val="24"/>
      <w:lang w:val="zh-CN" w:bidi="zh-CN"/>
    </w:rPr>
  </w:style>
  <w:style w:type="paragraph" w:customStyle="1" w:styleId="23">
    <w:name w:val="Char Char Char Char Char Char Char Char2 Char3 Char Char Char2"/>
    <w:basedOn w:val="1"/>
    <w:qFormat/>
    <w:uiPriority w:val="0"/>
    <w:pPr>
      <w:adjustRightInd w:val="0"/>
      <w:snapToGrid w:val="0"/>
      <w:spacing w:line="312" w:lineRule="auto"/>
      <w:ind w:firstLine="200" w:firstLineChars="200"/>
    </w:pPr>
    <w:rPr>
      <w:sz w:val="24"/>
      <w:szCs w:val="21"/>
    </w:rPr>
  </w:style>
  <w:style w:type="character" w:customStyle="1" w:styleId="24">
    <w:name w:val="批注框文本 字符"/>
    <w:basedOn w:val="14"/>
    <w:link w:val="8"/>
    <w:semiHidden/>
    <w:qFormat/>
    <w:uiPriority w:val="99"/>
    <w:rPr>
      <w:rFonts w:ascii="Calibri" w:hAnsi="Calibri" w:eastAsia="宋体" w:cs="Times New Roman"/>
      <w:sz w:val="18"/>
      <w:szCs w:val="18"/>
    </w:rPr>
  </w:style>
  <w:style w:type="paragraph" w:customStyle="1" w:styleId="25">
    <w:name w:val="Char Char Char Char Char Char Char Char2 Char3 Char Char Char3"/>
    <w:basedOn w:val="1"/>
    <w:qFormat/>
    <w:uiPriority w:val="0"/>
    <w:pPr>
      <w:adjustRightInd w:val="0"/>
      <w:snapToGrid w:val="0"/>
      <w:spacing w:line="312" w:lineRule="auto"/>
      <w:ind w:firstLine="200" w:firstLineChars="200"/>
    </w:pPr>
    <w:rPr>
      <w:sz w:val="24"/>
      <w:szCs w:val="21"/>
    </w:rPr>
  </w:style>
  <w:style w:type="paragraph" w:styleId="26">
    <w:name w:val="List Paragraph"/>
    <w:basedOn w:val="1"/>
    <w:qFormat/>
    <w:uiPriority w:val="34"/>
    <w:pPr>
      <w:ind w:firstLine="420" w:firstLineChars="200"/>
    </w:pPr>
  </w:style>
  <w:style w:type="character" w:customStyle="1" w:styleId="27">
    <w:name w:val="正文文本 字符"/>
    <w:basedOn w:val="14"/>
    <w:link w:val="7"/>
    <w:qFormat/>
    <w:uiPriority w:val="1"/>
    <w:rPr>
      <w:rFonts w:ascii="宋体" w:hAnsi="宋体" w:eastAsia="宋体" w:cs="宋体"/>
      <w:kern w:val="0"/>
      <w:szCs w:val="21"/>
      <w:lang w:val="zh-CN" w:bidi="zh-CN"/>
    </w:rPr>
  </w:style>
  <w:style w:type="character" w:customStyle="1" w:styleId="28">
    <w:name w:val="批注文字 字符"/>
    <w:basedOn w:val="14"/>
    <w:link w:val="6"/>
    <w:semiHidden/>
    <w:qFormat/>
    <w:uiPriority w:val="99"/>
    <w:rPr>
      <w:rFonts w:ascii="Calibri" w:hAnsi="Calibri" w:eastAsia="宋体" w:cs="Times New Roman"/>
    </w:rPr>
  </w:style>
  <w:style w:type="character" w:customStyle="1" w:styleId="29">
    <w:name w:val="批注主题 字符"/>
    <w:basedOn w:val="28"/>
    <w:link w:val="11"/>
    <w:semiHidden/>
    <w:qFormat/>
    <w:uiPriority w:val="99"/>
    <w:rPr>
      <w:rFonts w:ascii="Calibri" w:hAnsi="Calibri" w:eastAsia="宋体" w:cs="Times New Roman"/>
      <w:b/>
      <w:bCs/>
    </w:rPr>
  </w:style>
  <w:style w:type="paragraph" w:customStyle="1" w:styleId="30">
    <w:name w:val="修订1"/>
    <w:hidden/>
    <w:semiHidden/>
    <w:qFormat/>
    <w:uiPriority w:val="99"/>
    <w:rPr>
      <w:rFonts w:ascii="Calibri" w:hAnsi="Calibri" w:eastAsia="宋体" w:cs="Times New Roman"/>
      <w:kern w:val="2"/>
      <w:sz w:val="21"/>
      <w:szCs w:val="22"/>
      <w:lang w:val="en-US" w:eastAsia="zh-CN" w:bidi="ar-SA"/>
    </w:rPr>
  </w:style>
  <w:style w:type="character" w:customStyle="1" w:styleId="31">
    <w:name w:val="font01"/>
    <w:basedOn w:val="14"/>
    <w:qFormat/>
    <w:uiPriority w:val="0"/>
    <w:rPr>
      <w:rFonts w:hint="eastAsia" w:ascii="宋体" w:hAnsi="宋体" w:eastAsia="宋体"/>
      <w:b/>
      <w:bCs/>
      <w:color w:val="000000"/>
      <w:sz w:val="18"/>
      <w:szCs w:val="18"/>
      <w:u w:val="none"/>
    </w:rPr>
  </w:style>
  <w:style w:type="character" w:customStyle="1" w:styleId="32">
    <w:name w:val="标题 1 字符"/>
    <w:basedOn w:val="14"/>
    <w:link w:val="2"/>
    <w:qFormat/>
    <w:uiPriority w:val="9"/>
    <w:rPr>
      <w:rFonts w:ascii="Calibri" w:hAnsi="Calibri" w:eastAsia="宋体" w:cs="Times New Roman"/>
      <w:b/>
      <w:bCs/>
      <w:kern w:val="44"/>
      <w:sz w:val="44"/>
      <w:szCs w:val="44"/>
    </w:rPr>
  </w:style>
  <w:style w:type="character" w:customStyle="1" w:styleId="33">
    <w:name w:val="标题 2 字符"/>
    <w:basedOn w:val="14"/>
    <w:link w:val="3"/>
    <w:semiHidden/>
    <w:qFormat/>
    <w:uiPriority w:val="9"/>
    <w:rPr>
      <w:rFonts w:asciiTheme="majorHAnsi" w:hAnsiTheme="majorHAnsi" w:eastAsiaTheme="majorEastAsia" w:cstheme="majorBidi"/>
      <w:b/>
      <w:bCs/>
      <w:kern w:val="2"/>
      <w:sz w:val="32"/>
      <w:szCs w:val="32"/>
    </w:rPr>
  </w:style>
  <w:style w:type="character" w:customStyle="1" w:styleId="34">
    <w:name w:val="标题 3 字符"/>
    <w:basedOn w:val="14"/>
    <w:link w:val="4"/>
    <w:semiHidden/>
    <w:qFormat/>
    <w:uiPriority w:val="9"/>
    <w:rPr>
      <w:rFonts w:ascii="Calibri" w:hAnsi="Calibri" w:eastAsia="宋体" w:cs="Times New Roman"/>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21</Pages>
  <Words>5216</Words>
  <Characters>5443</Characters>
  <Lines>74</Lines>
  <Paragraphs>20</Paragraphs>
  <TotalTime>10</TotalTime>
  <ScaleCrop>false</ScaleCrop>
  <LinksUpToDate>false</LinksUpToDate>
  <CharactersWithSpaces>5478</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2023-06-26T08:48:00Z</dcterms:created>
  <dc:creator>User</dc:creator>
  <cp:lastModifiedBy>玲娜贝儿</cp:lastModifiedBy>
  <dcterms:modified xsi:type="dcterms:W3CDTF">2025-08-13T09:27:53Z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629080B77E1DA50F29F89B68F7024ABF_43</vt:lpwstr>
  </property>
  <property fmtid="{D5CDD505-2E9C-101B-9397-08002B2CF9AE}" pid="4" name="KSOTemplateDocerSaveRecord">
    <vt:lpwstr>eyJoZGlkIjoiZWI4OTk4N2I2NDJhYjg2YWQ5Y2RkN2UwMmFlMjU2ZGUiLCJ1c2VySWQiOiIzNDUyMTIzODIifQ==</vt:lpwstr>
  </property>
</Properties>
</file>